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6EF9" w:rsidRDefault="00526EF9">
      <w:pPr>
        <w:pStyle w:val="Heading2"/>
        <w:divId w:val="607086025"/>
      </w:pPr>
      <w:r>
        <w:rPr>
          <w:color w:val="000000"/>
          <w:sz w:val="32"/>
          <w:szCs w:val="32"/>
        </w:rPr>
        <w:t>Executive Summary School Accountability Report Card, 2010–11</w:t>
      </w:r>
    </w:p>
    <w:p w:rsidR="00526EF9" w:rsidRDefault="00526EF9">
      <w:pPr>
        <w:divId w:val="607086025"/>
      </w:pPr>
    </w:p>
    <w:p w:rsidR="00526EF9" w:rsidRDefault="00526EF9">
      <w:pPr>
        <w:pStyle w:val="Heading2"/>
        <w:divId w:val="607086025"/>
      </w:pPr>
      <w:r>
        <w:rPr>
          <w:color w:val="B02B2E"/>
          <w:sz w:val="30"/>
          <w:szCs w:val="30"/>
        </w:rPr>
        <w:t>For</w:t>
      </w:r>
      <w:r>
        <w:rPr>
          <w:color w:val="000000"/>
        </w:rPr>
        <w:t xml:space="preserve"> Granada Elementary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6"/>
        <w:gridCol w:w="4738"/>
        <w:gridCol w:w="1329"/>
        <w:gridCol w:w="1356"/>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100 South Granada Ave., Alhambra, CA, 91801-4021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626-308-2419</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George Jaeger,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Span: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K-8</w:t>
            </w:r>
          </w:p>
        </w:tc>
      </w:tr>
    </w:tbl>
    <w:p w:rsidR="00526EF9" w:rsidRDefault="00526EF9">
      <w:pPr>
        <w:divId w:val="607086025"/>
      </w:pPr>
      <w:r>
        <w:br/>
      </w:r>
      <w:r>
        <w:br/>
      </w:r>
      <w:r>
        <w:rPr>
          <w:rFonts w:ascii="Verdana" w:hAnsi="Verdana"/>
          <w:color w:val="555555"/>
          <w:sz w:val="17"/>
          <w:szCs w:val="17"/>
        </w:rPr>
        <w:t>This executive summary of the School Accountability Report Card (SARC) is intended to provide parents and community members with a quick snapshot of information related to individual public schools. Most data presented in this report are reported for the 2010–11 school year. School finances and school completion data are reported for the 2009–10 school year. Contact information, facilities, curriculum and instructional materials, and select teacher data are reported for the 2011–12 school year. For additional information about the school, parents and community members should review the entire SARC or contact the school principal or the district office.</w:t>
      </w:r>
    </w:p>
    <w:p w:rsidR="00526EF9" w:rsidRDefault="00526EF9">
      <w:pPr>
        <w:pStyle w:val="Heading3"/>
        <w:divId w:val="607086025"/>
      </w:pPr>
      <w:r>
        <w:rPr>
          <w:color w:val="000000"/>
          <w:sz w:val="30"/>
          <w:szCs w:val="30"/>
        </w:rPr>
        <w:t>About This School</w:t>
      </w:r>
    </w:p>
    <w:tbl>
      <w:tblPr>
        <w:tblW w:w="0" w:type="auto"/>
        <w:tblLook w:val="04A0"/>
      </w:tblPr>
      <w:tblGrid>
        <w:gridCol w:w="10920"/>
      </w:tblGrid>
      <w:tr w:rsidR="00526EF9">
        <w:trPr>
          <w:divId w:val="607086025"/>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526EF9" w:rsidRPr="00B90301" w:rsidRDefault="00526EF9">
            <w:pPr>
              <w:pStyle w:val="NormalWeb"/>
              <w:spacing w:before="0" w:beforeAutospacing="0" w:after="0" w:afterAutospacing="0"/>
              <w:ind w:left="20" w:right="20"/>
              <w:rPr>
                <w:rFonts w:ascii="Arial" w:hAnsi="Arial" w:cs="Arial"/>
                <w:sz w:val="20"/>
                <w:szCs w:val="20"/>
              </w:rPr>
            </w:pPr>
            <w:r w:rsidRPr="00B90301">
              <w:rPr>
                <w:rFonts w:ascii="Arial" w:hAnsi="Arial" w:cs="Arial"/>
                <w:b/>
                <w:bCs/>
                <w:color w:val="000000"/>
                <w:sz w:val="20"/>
                <w:szCs w:val="20"/>
              </w:rPr>
              <w:t>Principal’s Message</w:t>
            </w:r>
          </w:p>
          <w:p w:rsidR="00526EF9" w:rsidRPr="00A73F70" w:rsidRDefault="00526EF9">
            <w:pPr>
              <w:rPr>
                <w:rFonts w:ascii="Arial" w:hAnsi="Arial" w:cs="Arial"/>
                <w:sz w:val="20"/>
                <w:szCs w:val="20"/>
              </w:rPr>
            </w:pPr>
          </w:p>
          <w:p w:rsidR="00526EF9" w:rsidRPr="00B90301" w:rsidRDefault="00526EF9">
            <w:pPr>
              <w:pStyle w:val="NormalWeb"/>
              <w:spacing w:before="0" w:beforeAutospacing="0" w:after="0" w:afterAutospacing="0"/>
              <w:ind w:left="20" w:right="20"/>
              <w:rPr>
                <w:rFonts w:ascii="Arial" w:hAnsi="Arial" w:cs="Arial"/>
                <w:sz w:val="20"/>
                <w:szCs w:val="20"/>
              </w:rPr>
            </w:pPr>
            <w:r w:rsidRPr="00B90301">
              <w:rPr>
                <w:rFonts w:ascii="Arial" w:hAnsi="Arial" w:cs="Arial"/>
                <w:color w:val="000000"/>
                <w:sz w:val="20"/>
                <w:szCs w:val="20"/>
              </w:rPr>
              <w:t xml:space="preserve">Our passion statement was developed by our Leadership team and reflects our commitment to our students.  It reads: </w:t>
            </w:r>
            <w:r w:rsidRPr="00B90301">
              <w:rPr>
                <w:rFonts w:ascii="Arial" w:hAnsi="Arial" w:cs="Arial"/>
                <w:b/>
                <w:bCs/>
                <w:i/>
                <w:iCs/>
                <w:sz w:val="20"/>
                <w:szCs w:val="20"/>
              </w:rPr>
              <w:t>We at Granada School will not rest until each child becomes a successful student through our goal-oriented collaboration, effective direct instruction and staff commitment to adjust instructional strategies to meet students’ individual needs.</w:t>
            </w:r>
          </w:p>
          <w:p w:rsidR="00526EF9" w:rsidRPr="00A73F70" w:rsidRDefault="00526EF9">
            <w:pPr>
              <w:rPr>
                <w:rFonts w:ascii="Arial" w:hAnsi="Arial" w:cs="Arial"/>
                <w:sz w:val="20"/>
                <w:szCs w:val="20"/>
              </w:rPr>
            </w:pPr>
          </w:p>
          <w:p w:rsidR="00526EF9" w:rsidRPr="00B90301" w:rsidRDefault="00526EF9">
            <w:pPr>
              <w:pStyle w:val="NormalWeb"/>
              <w:spacing w:before="0" w:beforeAutospacing="0" w:after="0" w:afterAutospacing="0"/>
              <w:ind w:left="20" w:right="20"/>
              <w:rPr>
                <w:rFonts w:ascii="Arial" w:hAnsi="Arial" w:cs="Arial"/>
                <w:sz w:val="20"/>
                <w:szCs w:val="20"/>
              </w:rPr>
            </w:pPr>
            <w:r w:rsidRPr="00B90301">
              <w:rPr>
                <w:rFonts w:ascii="Arial" w:hAnsi="Arial" w:cs="Arial"/>
                <w:color w:val="000000"/>
                <w:sz w:val="20"/>
                <w:szCs w:val="20"/>
              </w:rPr>
              <w:t>Granada School is dedicated to developing and maintaining a philosophy of respect and high expectations of excellence for all students, teachers, and staff.  We strive to meet the diverse, multicultural needs of our students by fostering a lifelong love of learning, and developing responsible, confident, productive citizens through a school/home/community partnership that will advance into the 21st century.</w:t>
            </w:r>
          </w:p>
          <w:p w:rsidR="00526EF9" w:rsidRPr="00A73F70" w:rsidRDefault="00526EF9">
            <w:pPr>
              <w:rPr>
                <w:rFonts w:ascii="Arial" w:hAnsi="Arial" w:cs="Arial"/>
                <w:sz w:val="20"/>
                <w:szCs w:val="20"/>
              </w:rPr>
            </w:pPr>
          </w:p>
          <w:p w:rsidR="00526EF9" w:rsidRPr="00B90301" w:rsidRDefault="00526EF9">
            <w:pPr>
              <w:pStyle w:val="NormalWeb"/>
              <w:spacing w:before="0" w:beforeAutospacing="0" w:after="0" w:afterAutospacing="0"/>
              <w:ind w:left="20" w:right="20"/>
              <w:rPr>
                <w:rFonts w:ascii="Arial" w:hAnsi="Arial" w:cs="Arial"/>
                <w:sz w:val="20"/>
                <w:szCs w:val="20"/>
              </w:rPr>
            </w:pPr>
            <w:r w:rsidRPr="00B90301">
              <w:rPr>
                <w:rFonts w:ascii="Arial" w:hAnsi="Arial" w:cs="Arial"/>
                <w:color w:val="000000"/>
                <w:sz w:val="20"/>
                <w:szCs w:val="20"/>
              </w:rPr>
              <w:t>Granada School maintains consistent enrollment.  We began the school year with 23 classes in Kindergarten</w:t>
            </w:r>
            <w:r w:rsidRPr="00B90301">
              <w:rPr>
                <w:rFonts w:ascii="Arial" w:hAnsi="Arial" w:cs="Arial"/>
                <w:b/>
                <w:bCs/>
                <w:i/>
                <w:iCs/>
                <w:sz w:val="20"/>
                <w:szCs w:val="20"/>
              </w:rPr>
              <w:t xml:space="preserve"> </w:t>
            </w:r>
            <w:r w:rsidRPr="00B90301">
              <w:rPr>
                <w:rFonts w:ascii="Arial" w:hAnsi="Arial" w:cs="Arial"/>
                <w:sz w:val="20"/>
                <w:szCs w:val="20"/>
              </w:rPr>
              <w:t>through eighth grade.  In grades K-3, class size reduction provides classroom settings at a student-teacher ratio of 24:1.  In addition, Granada School is the location for the District’s deaf and hard-of-hearing (DHH) program.</w:t>
            </w:r>
          </w:p>
          <w:p w:rsidR="00526EF9" w:rsidRPr="00A73F70" w:rsidRDefault="00526EF9">
            <w:pPr>
              <w:rPr>
                <w:rFonts w:ascii="Arial" w:hAnsi="Arial" w:cs="Arial"/>
                <w:sz w:val="20"/>
                <w:szCs w:val="20"/>
              </w:rPr>
            </w:pPr>
          </w:p>
          <w:p w:rsidR="00526EF9" w:rsidRPr="00B90301" w:rsidRDefault="00526EF9">
            <w:pPr>
              <w:pStyle w:val="NormalWeb"/>
              <w:spacing w:before="0" w:beforeAutospacing="0" w:after="0" w:afterAutospacing="0"/>
              <w:ind w:left="20" w:right="20"/>
              <w:rPr>
                <w:rFonts w:ascii="Arial" w:hAnsi="Arial" w:cs="Arial"/>
                <w:sz w:val="20"/>
                <w:szCs w:val="20"/>
              </w:rPr>
            </w:pPr>
            <w:r w:rsidRPr="00B90301">
              <w:rPr>
                <w:rFonts w:ascii="Arial" w:hAnsi="Arial" w:cs="Arial"/>
                <w:color w:val="000000"/>
                <w:sz w:val="20"/>
                <w:szCs w:val="20"/>
              </w:rPr>
              <w:t>Literacy and math are the two major focus areas of the school.  In grades K-3, our emphasis is on primary students learning to read.  In grades 4-8, our emphasis is on students reading to learn.  In math, students learn appropriate grade level skills and participate in extra tutoring as needed.  6-8th grade students receive instruction in an extended double block of math.</w:t>
            </w:r>
          </w:p>
          <w:p w:rsidR="00526EF9" w:rsidRPr="00A73F70" w:rsidRDefault="00526EF9">
            <w:pPr>
              <w:rPr>
                <w:rFonts w:ascii="Arial" w:hAnsi="Arial" w:cs="Arial"/>
                <w:sz w:val="20"/>
                <w:szCs w:val="20"/>
              </w:rPr>
            </w:pPr>
          </w:p>
          <w:p w:rsidR="00526EF9" w:rsidRPr="00B90301" w:rsidRDefault="00526EF9">
            <w:pPr>
              <w:pStyle w:val="NormalWeb"/>
              <w:spacing w:before="0" w:beforeAutospacing="0" w:after="0" w:afterAutospacing="0"/>
              <w:ind w:left="20" w:right="20"/>
              <w:rPr>
                <w:rFonts w:ascii="Arial" w:hAnsi="Arial" w:cs="Arial"/>
                <w:sz w:val="20"/>
                <w:szCs w:val="20"/>
              </w:rPr>
            </w:pPr>
            <w:r w:rsidRPr="00B90301">
              <w:rPr>
                <w:rFonts w:ascii="Arial" w:hAnsi="Arial" w:cs="Arial"/>
                <w:color w:val="000000"/>
                <w:sz w:val="20"/>
                <w:szCs w:val="20"/>
              </w:rPr>
              <w:t>Granada School has implemented a systemic school-wide program intended to raise all students to a proficient level of performance.  Students in grades K-6 participate in strategic teaming.  During strategic teaming students receive instruction according to their needs with extra adult support provided to lower the adult/student ratio.  Teachers collaborate twice a month to plan lessons together.  Students in grades 6-8 are supported through the read 180 program.  Literacy is the core of our school.  All students receive a two-hour block of daily English/Language Arts and Reading instruction.  Each month, every teacher in every classroom reads the Book of the month, which conveys a message to the student. We also promote a school-wide 25-Books Campaign.  Each student’s goal is to read either 25 books a week in primary grades or 25 books a year in upper grades!</w:t>
            </w:r>
          </w:p>
          <w:p w:rsidR="00526EF9" w:rsidRPr="00A73F70" w:rsidRDefault="00526EF9">
            <w:pPr>
              <w:rPr>
                <w:rFonts w:ascii="Arial" w:hAnsi="Arial" w:cs="Arial"/>
                <w:sz w:val="20"/>
                <w:szCs w:val="20"/>
              </w:rPr>
            </w:pPr>
          </w:p>
          <w:p w:rsidR="00526EF9" w:rsidRPr="00B90301" w:rsidRDefault="00526EF9">
            <w:pPr>
              <w:pStyle w:val="NormalWeb"/>
              <w:spacing w:before="0" w:beforeAutospacing="0" w:after="0" w:afterAutospacing="0"/>
              <w:ind w:left="20" w:right="20"/>
              <w:rPr>
                <w:rFonts w:ascii="Arial" w:hAnsi="Arial" w:cs="Arial"/>
                <w:sz w:val="20"/>
                <w:szCs w:val="20"/>
              </w:rPr>
            </w:pPr>
            <w:r w:rsidRPr="00B90301">
              <w:rPr>
                <w:rFonts w:ascii="Arial" w:hAnsi="Arial" w:cs="Arial"/>
                <w:color w:val="000000"/>
                <w:sz w:val="20"/>
                <w:szCs w:val="20"/>
              </w:rPr>
              <w:t>We will continue to seek ways to improve parental and community involvement.  Parents are very important members of the Granada family.  The Granada staff works with parents to encourage increased involvement with our school and our children’s education.  All Parents are invited to attend “Café con Leche” monthly to talk to the Principal and other staff to receive and clarify information.</w:t>
            </w:r>
          </w:p>
          <w:p w:rsidR="00526EF9" w:rsidRPr="00A73F70" w:rsidRDefault="00526EF9">
            <w:pPr>
              <w:rPr>
                <w:rFonts w:ascii="Arial" w:hAnsi="Arial" w:cs="Arial"/>
                <w:sz w:val="20"/>
                <w:szCs w:val="20"/>
              </w:rPr>
            </w:pPr>
          </w:p>
          <w:p w:rsidR="00526EF9" w:rsidRDefault="00526EF9">
            <w:pPr>
              <w:pStyle w:val="NormalWeb"/>
              <w:spacing w:before="0" w:beforeAutospacing="0" w:after="0" w:afterAutospacing="0" w:line="0" w:lineRule="atLeast"/>
              <w:ind w:left="20" w:right="20"/>
            </w:pPr>
            <w:r w:rsidRPr="00B90301">
              <w:rPr>
                <w:rFonts w:ascii="Arial" w:hAnsi="Arial" w:cs="Arial"/>
                <w:color w:val="000000"/>
                <w:sz w:val="20"/>
                <w:szCs w:val="20"/>
              </w:rPr>
              <w:t>We invite you to become a partner in the education of our fine students and welcome your attendance and participation at our school functions.  We believe that our school goals can best be achieved through a cooperative effort by students, school staff, parents, and the community.</w:t>
            </w:r>
          </w:p>
        </w:tc>
      </w:tr>
    </w:tbl>
    <w:p w:rsidR="00526EF9" w:rsidRDefault="00526EF9">
      <w:pPr>
        <w:divId w:val="607086025"/>
      </w:pPr>
    </w:p>
    <w:p w:rsidR="00B90301" w:rsidRDefault="00B90301">
      <w:pPr>
        <w:pStyle w:val="Heading3"/>
        <w:divId w:val="607086025"/>
        <w:rPr>
          <w:color w:val="000000"/>
          <w:sz w:val="30"/>
          <w:szCs w:val="30"/>
        </w:rPr>
      </w:pPr>
    </w:p>
    <w:p w:rsidR="00526EF9" w:rsidRDefault="00526EF9">
      <w:pPr>
        <w:pStyle w:val="Heading3"/>
        <w:divId w:val="607086025"/>
      </w:pPr>
      <w:r>
        <w:rPr>
          <w:color w:val="000000"/>
          <w:sz w:val="30"/>
          <w:szCs w:val="30"/>
        </w:rPr>
        <w:lastRenderedPageBreak/>
        <w:t>Student Enrollment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1308"/>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Enrollment</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547</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0.7%</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0.4%</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74.2%</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42.0%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13.3%</w:t>
            </w:r>
          </w:p>
        </w:tc>
      </w:tr>
    </w:tbl>
    <w:p w:rsidR="00526EF9" w:rsidRDefault="00526EF9">
      <w:pPr>
        <w:divId w:val="607086025"/>
      </w:pPr>
    </w:p>
    <w:p w:rsidR="00526EF9" w:rsidRDefault="00526EF9">
      <w:pPr>
        <w:pStyle w:val="Heading3"/>
        <w:divId w:val="607086025"/>
      </w:pPr>
      <w:r>
        <w:rPr>
          <w:color w:val="000000"/>
          <w:sz w:val="30"/>
          <w:szCs w:val="30"/>
        </w:rPr>
        <w:t>Teachers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93"/>
        <w:gridCol w:w="1113"/>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23</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Teaching Outside Subject Area of Competence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Misassignments of Teachers of 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Teacher Misassignments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r>
    </w:tbl>
    <w:p w:rsidR="00526EF9" w:rsidRDefault="00526EF9">
      <w:pPr>
        <w:divId w:val="607086025"/>
      </w:pPr>
    </w:p>
    <w:p w:rsidR="00526EF9" w:rsidRDefault="00526EF9">
      <w:pPr>
        <w:pStyle w:val="Heading3"/>
        <w:divId w:val="607086025"/>
      </w:pPr>
      <w:r>
        <w:rPr>
          <w:color w:val="000000"/>
          <w:sz w:val="30"/>
          <w:szCs w:val="30"/>
        </w:rPr>
        <w:t>Student Performance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18"/>
        <w:gridCol w:w="6039"/>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Students Proficient and Above on STAR* Program Results</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r>
    </w:tbl>
    <w:p w:rsidR="00526EF9" w:rsidRDefault="00526EF9">
      <w:pPr>
        <w:divId w:val="607086025"/>
      </w:pPr>
      <w:r>
        <w:rPr>
          <w:rFonts w:ascii="Verdana" w:hAnsi="Verdana"/>
          <w:color w:val="555555"/>
          <w:sz w:val="17"/>
          <w:szCs w:val="17"/>
        </w:rPr>
        <w:t>*Standardized Testing and Reporting Program assessments used for accountability purposes include the California Standards Tests, the California Modified Assessment, and the California Alternate Performance Assessment.</w:t>
      </w:r>
    </w:p>
    <w:p w:rsidR="00526EF9" w:rsidRDefault="00526EF9">
      <w:pPr>
        <w:pStyle w:val="Heading3"/>
        <w:divId w:val="607086025"/>
      </w:pPr>
      <w:r>
        <w:rPr>
          <w:color w:val="000000"/>
          <w:sz w:val="30"/>
          <w:szCs w:val="30"/>
        </w:rPr>
        <w:t>Academic Progress*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30"/>
        <w:gridCol w:w="1247"/>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 Growth API Score (from 2011 Growth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801</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 Rank (from 2010 Base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All 2011 AYP Requirements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AYP Criteria Met Out of the Total Number of Criteria Possible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Met 14 of 21</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2011–12 Program Improvement Status (PI 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1</w:t>
            </w:r>
          </w:p>
        </w:tc>
      </w:tr>
    </w:tbl>
    <w:p w:rsidR="00526EF9" w:rsidRDefault="00526EF9">
      <w:pPr>
        <w:divId w:val="607086025"/>
      </w:pPr>
      <w:r>
        <w:rPr>
          <w:rFonts w:ascii="Verdana" w:hAnsi="Verdana"/>
          <w:color w:val="555555"/>
          <w:sz w:val="17"/>
          <w:szCs w:val="17"/>
        </w:rPr>
        <w:t>*The Academic Performance Index is required under state law. Adequate Yearly Progress is required by federal law.</w:t>
      </w:r>
    </w:p>
    <w:p w:rsidR="00526EF9" w:rsidRDefault="00526EF9">
      <w:pPr>
        <w:pStyle w:val="Heading3"/>
        <w:divId w:val="607086025"/>
      </w:pPr>
      <w:r>
        <w:rPr>
          <w:color w:val="000000"/>
          <w:sz w:val="30"/>
          <w:szCs w:val="30"/>
        </w:rPr>
        <w:lastRenderedPageBreak/>
        <w:t>School Facilities</w:t>
      </w:r>
    </w:p>
    <w:p w:rsidR="00526EF9" w:rsidRDefault="00526EF9">
      <w:pPr>
        <w:pStyle w:val="Heading4"/>
        <w:divId w:val="607086025"/>
      </w:pPr>
      <w:r>
        <w:rPr>
          <w:color w:val="000000"/>
          <w:sz w:val="23"/>
          <w:szCs w:val="23"/>
        </w:rPr>
        <w:t>Summary of Most Recent Site Inspection</w:t>
      </w:r>
    </w:p>
    <w:tbl>
      <w:tblPr>
        <w:tblW w:w="0" w:type="auto"/>
        <w:tblLook w:val="04A0"/>
      </w:tblPr>
      <w:tblGrid>
        <w:gridCol w:w="10920"/>
      </w:tblGrid>
      <w:tr w:rsidR="00526EF9">
        <w:trPr>
          <w:divId w:val="607086025"/>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526EF9" w:rsidRDefault="00526EF9">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The most recent inspection on 12/20/2011, by the District’s Custodial Manager, found the site to be clean, safe and in good repair with no major defects requiring emergency repairs.</w:t>
            </w:r>
          </w:p>
        </w:tc>
      </w:tr>
    </w:tbl>
    <w:p w:rsidR="00526EF9" w:rsidRDefault="00526EF9">
      <w:pPr>
        <w:pStyle w:val="Heading4"/>
        <w:divId w:val="607086025"/>
      </w:pPr>
      <w:r>
        <w:rPr>
          <w:color w:val="000000"/>
          <w:sz w:val="23"/>
          <w:szCs w:val="23"/>
        </w:rPr>
        <w:t>Repairs Needed</w:t>
      </w:r>
    </w:p>
    <w:tbl>
      <w:tblPr>
        <w:tblW w:w="0" w:type="auto"/>
        <w:tblLook w:val="04A0"/>
      </w:tblPr>
      <w:tblGrid>
        <w:gridCol w:w="6353"/>
      </w:tblGrid>
      <w:tr w:rsidR="00526EF9">
        <w:trPr>
          <w:divId w:val="607086025"/>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526EF9" w:rsidRDefault="00526EF9">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Most repairs needed are general maintenance or wear and tear items.</w:t>
            </w:r>
          </w:p>
        </w:tc>
      </w:tr>
    </w:tbl>
    <w:p w:rsidR="00526EF9" w:rsidRDefault="00526EF9">
      <w:pPr>
        <w:pStyle w:val="Heading4"/>
        <w:divId w:val="607086025"/>
      </w:pPr>
      <w:r>
        <w:rPr>
          <w:color w:val="000000"/>
          <w:sz w:val="23"/>
          <w:szCs w:val="23"/>
        </w:rPr>
        <w:t>Corrective Actions Taken or Planned</w:t>
      </w:r>
    </w:p>
    <w:tbl>
      <w:tblPr>
        <w:tblW w:w="0" w:type="auto"/>
        <w:tblLook w:val="04A0"/>
      </w:tblPr>
      <w:tblGrid>
        <w:gridCol w:w="5386"/>
      </w:tblGrid>
      <w:tr w:rsidR="00526EF9">
        <w:trPr>
          <w:divId w:val="607086025"/>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526EF9" w:rsidRDefault="00526EF9">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Repairs will be scheduled as ongoing routine maintenance.</w:t>
            </w:r>
          </w:p>
        </w:tc>
      </w:tr>
    </w:tbl>
    <w:p w:rsidR="00526EF9" w:rsidRDefault="00526EF9">
      <w:pPr>
        <w:pStyle w:val="Heading3"/>
        <w:divId w:val="607086025"/>
      </w:pPr>
      <w:r>
        <w:rPr>
          <w:color w:val="000000"/>
          <w:sz w:val="30"/>
          <w:szCs w:val="30"/>
        </w:rPr>
        <w:t>Curriculum and Instructional Materials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66"/>
        <w:gridCol w:w="5769"/>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Pupils Who Lack Textbooks and Instructional Materials</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bl>
    <w:p w:rsidR="00526EF9" w:rsidRDefault="00526EF9">
      <w:pPr>
        <w:pStyle w:val="Heading3"/>
        <w:divId w:val="607086025"/>
      </w:pPr>
      <w:r>
        <w:rPr>
          <w:color w:val="000000"/>
          <w:sz w:val="30"/>
          <w:szCs w:val="30"/>
        </w:rPr>
        <w:t>School Finances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21"/>
        <w:gridCol w:w="5402"/>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(Unrestricted Sources Only)</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$4,955</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r>
    </w:tbl>
    <w:p w:rsidR="00526EF9" w:rsidRDefault="00526EF9">
      <w:pPr>
        <w:pStyle w:val="Heading3"/>
        <w:divId w:val="607086025"/>
      </w:pPr>
      <w:r>
        <w:rPr>
          <w:color w:val="000000"/>
          <w:sz w:val="30"/>
          <w:szCs w:val="30"/>
        </w:rPr>
        <w:t>School Completion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20"/>
        <w:gridCol w:w="839"/>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 (if applicable)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N/A</w:t>
            </w:r>
          </w:p>
        </w:tc>
      </w:tr>
    </w:tbl>
    <w:p w:rsidR="00526EF9" w:rsidRDefault="00526EF9">
      <w:pPr>
        <w:divId w:val="607086025"/>
      </w:pPr>
    </w:p>
    <w:p w:rsidR="00526EF9" w:rsidRDefault="00526EF9">
      <w:pPr>
        <w:pStyle w:val="Heading3"/>
        <w:divId w:val="607086025"/>
      </w:pPr>
      <w:r>
        <w:rPr>
          <w:color w:val="000000"/>
          <w:sz w:val="30"/>
          <w:szCs w:val="30"/>
        </w:rPr>
        <w:t>Postsecondary Preparation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43"/>
        <w:gridCol w:w="977"/>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Pupils Who Completed a Career Technical Education Program and Earned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Graduates Who Completed All Courses Required for University of California or California State University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N/A</w:t>
            </w:r>
          </w:p>
        </w:tc>
      </w:tr>
    </w:tbl>
    <w:p w:rsidR="00526EF9" w:rsidRDefault="00526EF9">
      <w:pPr>
        <w:divId w:val="607086025"/>
      </w:pPr>
    </w:p>
    <w:p w:rsidR="00526EF9" w:rsidRDefault="00526EF9">
      <w:pPr>
        <w:pStyle w:val="Heading1"/>
        <w:jc w:val="center"/>
        <w:divId w:val="607086025"/>
      </w:pPr>
      <w:r>
        <w:rPr>
          <w:color w:val="000000"/>
        </w:rPr>
        <w:lastRenderedPageBreak/>
        <w:t>School Accountability Report Card</w:t>
      </w:r>
    </w:p>
    <w:p w:rsidR="00526EF9" w:rsidRDefault="00526EF9">
      <w:pPr>
        <w:pStyle w:val="Heading2"/>
        <w:jc w:val="center"/>
        <w:divId w:val="607086025"/>
      </w:pPr>
      <w:r>
        <w:rPr>
          <w:color w:val="000000"/>
          <w:sz w:val="35"/>
          <w:szCs w:val="35"/>
        </w:rPr>
        <w:t>Reported Using Data from the 2010–11 School Year</w:t>
      </w:r>
    </w:p>
    <w:p w:rsidR="00526EF9" w:rsidRDefault="00526EF9">
      <w:pPr>
        <w:pStyle w:val="Heading3"/>
        <w:spacing w:before="0" w:after="0"/>
        <w:jc w:val="center"/>
        <w:divId w:val="607086025"/>
      </w:pPr>
      <w:r>
        <w:rPr>
          <w:b w:val="0"/>
          <w:bCs w:val="0"/>
          <w:i/>
          <w:iCs/>
          <w:color w:val="6E6E6E"/>
          <w:sz w:val="30"/>
          <w:szCs w:val="30"/>
        </w:rPr>
        <w:t>Published During 2011–12</w:t>
      </w:r>
    </w:p>
    <w:p w:rsidR="00526EF9" w:rsidRDefault="00526EF9">
      <w:pPr>
        <w:divId w:val="607086025"/>
      </w:pPr>
      <w:r>
        <w:rPr>
          <w:rFonts w:ascii="Verdana" w:hAnsi="Verdana"/>
          <w:color w:val="555555"/>
          <w:sz w:val="17"/>
          <w:szCs w:val="17"/>
        </w:rPr>
        <w:t>Every school in California is required by state law to publish a School Accountability Report Card (SARC), by February 1 of each year. The SARC contains information about the condition and performance of each California public school.</w:t>
      </w:r>
    </w:p>
    <w:p w:rsidR="00526EF9" w:rsidRDefault="00526EF9">
      <w:pPr>
        <w:numPr>
          <w:ilvl w:val="0"/>
          <w:numId w:val="1"/>
        </w:numPr>
        <w:spacing w:before="100" w:beforeAutospacing="1" w:after="100" w:afterAutospacing="1"/>
        <w:textAlignment w:val="baseline"/>
        <w:divId w:val="607086025"/>
        <w:rPr>
          <w:rFonts w:ascii="Arial" w:hAnsi="Arial" w:cs="Arial"/>
          <w:color w:val="000000"/>
          <w:sz w:val="23"/>
          <w:szCs w:val="23"/>
        </w:rPr>
      </w:pPr>
      <w:r>
        <w:rPr>
          <w:rFonts w:ascii="Verdana" w:hAnsi="Verdana" w:cs="Arial"/>
          <w:color w:val="555555"/>
          <w:sz w:val="17"/>
          <w:szCs w:val="17"/>
        </w:rPr>
        <w:t>For more information about SARC requirements, see the California Department of Education (CDE) SARC Web page at</w:t>
      </w:r>
      <w:hyperlink r:id="rId5" w:history="1">
        <w:r>
          <w:rPr>
            <w:rStyle w:val="Hyperlink"/>
            <w:rFonts w:ascii="Verdana" w:hAnsi="Verdana" w:cs="Arial"/>
            <w:color w:val="555555"/>
            <w:sz w:val="17"/>
            <w:szCs w:val="17"/>
          </w:rPr>
          <w:t xml:space="preserve"> http://www.cde.ca.gov/ta/ac/sa/</w:t>
        </w:r>
      </w:hyperlink>
      <w:r>
        <w:rPr>
          <w:rFonts w:ascii="Verdana" w:hAnsi="Verdana" w:cs="Arial"/>
          <w:color w:val="555555"/>
          <w:sz w:val="17"/>
          <w:szCs w:val="17"/>
        </w:rPr>
        <w:t>.</w:t>
      </w:r>
    </w:p>
    <w:p w:rsidR="00526EF9" w:rsidRDefault="00526EF9">
      <w:pPr>
        <w:numPr>
          <w:ilvl w:val="0"/>
          <w:numId w:val="1"/>
        </w:numPr>
        <w:spacing w:before="100" w:beforeAutospacing="1" w:after="100" w:afterAutospacing="1"/>
        <w:textAlignment w:val="baseline"/>
        <w:divId w:val="607086025"/>
        <w:rPr>
          <w:rFonts w:ascii="Arial" w:hAnsi="Arial" w:cs="Arial"/>
          <w:color w:val="000000"/>
          <w:sz w:val="23"/>
          <w:szCs w:val="23"/>
        </w:rPr>
      </w:pPr>
      <w:r>
        <w:rPr>
          <w:rFonts w:ascii="Verdana" w:hAnsi="Verdana" w:cs="Arial"/>
          <w:color w:val="555555"/>
          <w:sz w:val="17"/>
          <w:szCs w:val="17"/>
        </w:rPr>
        <w:t>For additional information about the school, parents and community members should contact the school principal or the district office.</w:t>
      </w:r>
    </w:p>
    <w:p w:rsidR="00526EF9" w:rsidRDefault="00526EF9">
      <w:pPr>
        <w:divId w:val="607086025"/>
      </w:pPr>
      <w:r>
        <w:br/>
      </w:r>
    </w:p>
    <w:p w:rsidR="00526EF9" w:rsidRDefault="00526EF9">
      <w:pPr>
        <w:pStyle w:val="Heading2"/>
        <w:divId w:val="607086025"/>
      </w:pPr>
      <w:r>
        <w:rPr>
          <w:color w:val="000000"/>
          <w:sz w:val="32"/>
          <w:szCs w:val="32"/>
        </w:rPr>
        <w:t>I. Data and Access</w:t>
      </w:r>
    </w:p>
    <w:p w:rsidR="00526EF9" w:rsidRDefault="00526EF9">
      <w:pPr>
        <w:pStyle w:val="Heading4"/>
        <w:divId w:val="607086025"/>
      </w:pPr>
      <w:r>
        <w:rPr>
          <w:color w:val="000000"/>
          <w:sz w:val="23"/>
          <w:szCs w:val="23"/>
        </w:rPr>
        <w:t>Ed-Data Partnership Web Site</w:t>
      </w:r>
    </w:p>
    <w:p w:rsidR="00526EF9" w:rsidRDefault="00526EF9">
      <w:pPr>
        <w:divId w:val="607086025"/>
      </w:pPr>
      <w:r>
        <w:rPr>
          <w:rFonts w:ascii="Verdana" w:hAnsi="Verdana"/>
          <w:color w:val="555555"/>
          <w:sz w:val="17"/>
          <w:szCs w:val="17"/>
        </w:rPr>
        <w:t xml:space="preserve">Ed-Data </w:t>
      </w:r>
      <w:r>
        <w:rPr>
          <w:rFonts w:ascii="Verdana" w:hAnsi="Verdana"/>
          <w:i/>
          <w:iCs/>
          <w:color w:val="555555"/>
          <w:sz w:val="17"/>
          <w:szCs w:val="17"/>
        </w:rPr>
        <w:t xml:space="preserve">is a partnership of the </w:t>
      </w:r>
      <w:r>
        <w:rPr>
          <w:rFonts w:ascii="Verdana" w:hAnsi="Verdana"/>
          <w:color w:val="555555"/>
          <w:sz w:val="17"/>
          <w:szCs w:val="17"/>
        </w:rPr>
        <w:t>CDE, EdSource, and the Fiscal Crisis and Management Assistance Team (FCMAT) that provides extensive financial, demographic, and performance information about California’s public kindergarten through grade twelve school districts and schools.</w:t>
      </w:r>
    </w:p>
    <w:p w:rsidR="00526EF9" w:rsidRDefault="00526EF9">
      <w:pPr>
        <w:pStyle w:val="Heading4"/>
        <w:divId w:val="607086025"/>
      </w:pPr>
      <w:r>
        <w:rPr>
          <w:color w:val="000000"/>
          <w:sz w:val="23"/>
          <w:szCs w:val="23"/>
        </w:rPr>
        <w:t>DataQuest</w:t>
      </w:r>
    </w:p>
    <w:p w:rsidR="00526EF9" w:rsidRDefault="00526EF9">
      <w:pPr>
        <w:divId w:val="607086025"/>
      </w:pPr>
      <w:r>
        <w:rPr>
          <w:rFonts w:ascii="Verdana" w:hAnsi="Verdana"/>
          <w:color w:val="555555"/>
          <w:sz w:val="17"/>
          <w:szCs w:val="17"/>
        </w:rPr>
        <w:t>DataQuest is an online data tool located on the CDE DataQuest Web page at</w:t>
      </w:r>
      <w:hyperlink r:id="rId6" w:history="1">
        <w:r>
          <w:rPr>
            <w:rStyle w:val="Hyperlink"/>
            <w:rFonts w:ascii="Verdana" w:hAnsi="Verdana"/>
            <w:color w:val="555555"/>
            <w:sz w:val="17"/>
            <w:szCs w:val="17"/>
          </w:rPr>
          <w:t xml:space="preserve"> http://dq.cde.ca.gov/dataquest/</w:t>
        </w:r>
      </w:hyperlink>
      <w:r>
        <w:rPr>
          <w:rFonts w:ascii="Verdana" w:hAnsi="Verdana"/>
          <w:color w:val="555555"/>
          <w:sz w:val="17"/>
          <w:szCs w:val="17"/>
        </w:rPr>
        <w:t xml:space="preserve"> that contains additional information about this school and comparisons of the school to the district, the county, and the state. Specifically, DataQuest is a dynamic system that provides reports for accountability (e.g., state Academic Performance Index [API], federal Adequate Yearly Progress [AYP]), test data, enrollment, high school graduates, dropouts, course enrollments, staffing, and data regarding English learners.</w:t>
      </w:r>
    </w:p>
    <w:p w:rsidR="00526EF9" w:rsidRDefault="00526EF9">
      <w:pPr>
        <w:pStyle w:val="Heading4"/>
        <w:divId w:val="607086025"/>
      </w:pPr>
      <w:r>
        <w:rPr>
          <w:color w:val="000000"/>
          <w:sz w:val="23"/>
          <w:szCs w:val="23"/>
        </w:rPr>
        <w:t>Internet Access</w:t>
      </w:r>
    </w:p>
    <w:p w:rsidR="00526EF9" w:rsidRDefault="00526EF9">
      <w:pPr>
        <w:divId w:val="607086025"/>
      </w:pPr>
      <w:r>
        <w:rPr>
          <w:rFonts w:ascii="Verdana" w:hAnsi="Verdana"/>
          <w:color w:val="555555"/>
          <w:sz w:val="17"/>
          <w:szCs w:val="17"/>
        </w:rPr>
        <w:t>Internet access is available at public libraries and other locations that are publicly accessible (e.g., the California State Library). Access to the Internet at libraries and public locations is generally provided on a first-come, first-served basis. Other use restrictions may include the hours of operation, the length of time that a workstation may be used (depending on availability), the types of software programs available on a workstation, and the ability to print documents.</w:t>
      </w:r>
    </w:p>
    <w:p w:rsidR="00526EF9" w:rsidRDefault="00526EF9">
      <w:pPr>
        <w:pStyle w:val="Heading2"/>
        <w:divId w:val="607086025"/>
      </w:pPr>
      <w:r>
        <w:rPr>
          <w:color w:val="000000"/>
          <w:sz w:val="32"/>
          <w:szCs w:val="32"/>
        </w:rPr>
        <w:t xml:space="preserve">II. </w:t>
      </w:r>
      <w:proofErr w:type="gramStart"/>
      <w:r>
        <w:rPr>
          <w:color w:val="000000"/>
          <w:sz w:val="32"/>
          <w:szCs w:val="32"/>
        </w:rPr>
        <w:t>About</w:t>
      </w:r>
      <w:proofErr w:type="gramEnd"/>
      <w:r>
        <w:rPr>
          <w:color w:val="000000"/>
          <w:sz w:val="32"/>
          <w:szCs w:val="32"/>
        </w:rPr>
        <w:t xml:space="preserve"> This School</w:t>
      </w:r>
    </w:p>
    <w:p w:rsidR="00526EF9" w:rsidRDefault="00526EF9">
      <w:pPr>
        <w:pStyle w:val="Heading4"/>
        <w:divId w:val="607086025"/>
      </w:pPr>
      <w:r>
        <w:rPr>
          <w:color w:val="000000"/>
          <w:sz w:val="23"/>
          <w:szCs w:val="23"/>
        </w:rPr>
        <w:t>Contact Information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95"/>
        <w:gridCol w:w="3308"/>
        <w:gridCol w:w="1640"/>
        <w:gridCol w:w="3129"/>
      </w:tblGrid>
      <w:tr w:rsidR="00526EF9">
        <w:trPr>
          <w:divId w:val="607086025"/>
        </w:trPr>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rPr>
                <w:sz w:val="2"/>
              </w:rPr>
            </w:pPr>
            <w:r w:rsidRPr="00A73F70">
              <w:rPr>
                <w:rFonts w:ascii="Verdana" w:hAnsi="Verdana"/>
                <w:b/>
                <w:bCs/>
                <w:color w:val="FFFFFF"/>
                <w:sz w:val="18"/>
                <w:szCs w:val="18"/>
                <w:shd w:val="clear" w:color="auto" w:fill="1A4678"/>
              </w:rPr>
              <w:t>School</w:t>
            </w:r>
          </w:p>
        </w:tc>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rPr>
                <w:sz w:val="2"/>
              </w:rPr>
            </w:pPr>
            <w:r w:rsidRPr="00A73F70">
              <w:rPr>
                <w:rFonts w:ascii="Verdana" w:hAnsi="Verdana"/>
                <w:b/>
                <w:bCs/>
                <w:color w:val="FFFFFF"/>
                <w:sz w:val="18"/>
                <w:szCs w:val="18"/>
                <w:shd w:val="clear" w:color="auto" w:fill="1A4678"/>
              </w:rPr>
              <w:t>District</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Granada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Unified</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Street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100 South Granada Ave.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(626) 943-3000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City, State, Zip</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CA, 91801-4021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Web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www.ausd.us</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626-308-2419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Donna Perez</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George Jaeger,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perez_donna@alhambra.k12.ca.us</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Jaeger_George@alhambra.k12.ca.us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CDS Code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19757136011043</w:t>
            </w:r>
          </w:p>
        </w:tc>
      </w:tr>
    </w:tbl>
    <w:p w:rsidR="00526EF9" w:rsidRDefault="00526EF9">
      <w:pPr>
        <w:divId w:val="607086025"/>
      </w:pPr>
    </w:p>
    <w:p w:rsidR="00B90301" w:rsidRDefault="00B90301">
      <w:pPr>
        <w:pStyle w:val="Heading4"/>
        <w:divId w:val="607086025"/>
        <w:rPr>
          <w:color w:val="000000"/>
          <w:sz w:val="23"/>
          <w:szCs w:val="23"/>
        </w:rPr>
      </w:pPr>
    </w:p>
    <w:p w:rsidR="00526EF9" w:rsidRDefault="00526EF9">
      <w:pPr>
        <w:pStyle w:val="Heading4"/>
        <w:divId w:val="607086025"/>
      </w:pPr>
      <w:r>
        <w:rPr>
          <w:color w:val="000000"/>
          <w:sz w:val="23"/>
          <w:szCs w:val="23"/>
        </w:rPr>
        <w:lastRenderedPageBreak/>
        <w:t>School Description and Mission Statement (School Year 2010–11)</w:t>
      </w:r>
    </w:p>
    <w:tbl>
      <w:tblPr>
        <w:tblW w:w="0" w:type="auto"/>
        <w:tblLook w:val="04A0"/>
      </w:tblPr>
      <w:tblGrid>
        <w:gridCol w:w="10920"/>
      </w:tblGrid>
      <w:tr w:rsidR="00526EF9">
        <w:trPr>
          <w:divId w:val="607086025"/>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526EF9" w:rsidRDefault="00526EF9">
            <w:pPr>
              <w:pStyle w:val="NormalWeb"/>
              <w:spacing w:before="0" w:beforeAutospacing="0" w:after="0" w:afterAutospacing="0"/>
              <w:ind w:left="20" w:right="20"/>
              <w:jc w:val="center"/>
            </w:pPr>
            <w:r>
              <w:rPr>
                <w:rFonts w:ascii="Verdana" w:hAnsi="Verdana"/>
                <w:b/>
                <w:bCs/>
                <w:color w:val="000000"/>
                <w:sz w:val="17"/>
                <w:szCs w:val="17"/>
              </w:rPr>
              <w:t>Mission Statement</w:t>
            </w:r>
          </w:p>
          <w:p w:rsidR="00526EF9" w:rsidRPr="00A73F70" w:rsidRDefault="00526EF9"/>
          <w:p w:rsidR="00526EF9" w:rsidRDefault="00526EF9">
            <w:pPr>
              <w:pStyle w:val="NormalWeb"/>
              <w:spacing w:before="0" w:beforeAutospacing="0" w:after="0" w:afterAutospacing="0"/>
              <w:ind w:left="20" w:right="20"/>
            </w:pPr>
            <w:proofErr w:type="gramStart"/>
            <w:r>
              <w:rPr>
                <w:rFonts w:ascii="Verdana" w:hAnsi="Verdana"/>
                <w:color w:val="000000"/>
                <w:sz w:val="17"/>
                <w:szCs w:val="17"/>
              </w:rPr>
              <w:t>•  Teachers</w:t>
            </w:r>
            <w:proofErr w:type="gramEnd"/>
            <w:r>
              <w:rPr>
                <w:rFonts w:ascii="Verdana" w:hAnsi="Verdana"/>
                <w:color w:val="000000"/>
                <w:sz w:val="17"/>
                <w:szCs w:val="17"/>
              </w:rPr>
              <w:t xml:space="preserve"> at Granada School will implement a variety of instructional strategies and programs that will provide students with opportunities to be successful in Math and English Language Arts.</w:t>
            </w:r>
          </w:p>
          <w:p w:rsidR="00526EF9" w:rsidRDefault="00526EF9">
            <w:pPr>
              <w:pStyle w:val="NormalWeb"/>
              <w:spacing w:before="0" w:beforeAutospacing="0" w:after="0" w:afterAutospacing="0"/>
              <w:ind w:left="20" w:right="20"/>
            </w:pPr>
            <w:proofErr w:type="gramStart"/>
            <w:r>
              <w:rPr>
                <w:rFonts w:ascii="Verdana" w:hAnsi="Verdana"/>
                <w:color w:val="000000"/>
                <w:sz w:val="17"/>
                <w:szCs w:val="17"/>
              </w:rPr>
              <w:t>•  The</w:t>
            </w:r>
            <w:proofErr w:type="gramEnd"/>
            <w:r>
              <w:rPr>
                <w:rFonts w:ascii="Verdana" w:hAnsi="Verdana"/>
                <w:color w:val="000000"/>
                <w:sz w:val="17"/>
                <w:szCs w:val="17"/>
              </w:rPr>
              <w:t xml:space="preserve"> school-wide community will encourage and support the learning process.</w:t>
            </w:r>
          </w:p>
          <w:p w:rsidR="00526EF9" w:rsidRPr="00A73F70" w:rsidRDefault="00526EF9"/>
          <w:p w:rsidR="00526EF9" w:rsidRDefault="00526EF9">
            <w:pPr>
              <w:pStyle w:val="NormalWeb"/>
              <w:spacing w:before="0" w:beforeAutospacing="0" w:after="0" w:afterAutospacing="0"/>
              <w:ind w:left="20" w:right="20"/>
              <w:jc w:val="center"/>
            </w:pPr>
            <w:r>
              <w:rPr>
                <w:rFonts w:ascii="Verdana" w:hAnsi="Verdana"/>
                <w:b/>
                <w:bCs/>
                <w:color w:val="000000"/>
                <w:sz w:val="17"/>
                <w:szCs w:val="17"/>
              </w:rPr>
              <w:t>School and Community Profile</w:t>
            </w:r>
          </w:p>
          <w:p w:rsidR="00526EF9" w:rsidRDefault="00526EF9">
            <w:pPr>
              <w:spacing w:line="0" w:lineRule="atLeast"/>
            </w:pPr>
            <w:r w:rsidRPr="00A73F70">
              <w:br/>
            </w:r>
            <w:r w:rsidRPr="00A73F70">
              <w:rPr>
                <w:rFonts w:ascii="Verdana" w:hAnsi="Verdana"/>
                <w:color w:val="000000"/>
                <w:sz w:val="17"/>
                <w:szCs w:val="17"/>
              </w:rPr>
              <w:t xml:space="preserve">Granada School has 23 classes in kindergarten through eighth grade.  In grades K-3, class size reduction provides classroom settings at a student-teacher ratio of 20:1.  In addition, Granada School has 3 classrooms for the deaf and hard of hearing (DHH) program.  Granada School has a free/reduced lunch program.  This represents 67.1% of Granada School. It has a population of 30.2% Limited English Proficient (LEP) students.  The Orientation Center provides initial testing in oral language, writing, reading, and math for all new students who have a language other than English listed on their Home Language Survey.  This information is critical to class placement and for identification of other services.  The CBEDS survey indicates that the ethnicities represented include 58.9% Hispanic, 31.3% Asian, 1.1% African-American, and 8.8% Other. </w:t>
            </w:r>
            <w:r w:rsidRPr="00A73F70">
              <w:br/>
            </w:r>
            <w:r w:rsidRPr="00A73F70">
              <w:br/>
            </w:r>
            <w:r w:rsidRPr="00A73F70">
              <w:rPr>
                <w:rFonts w:ascii="Verdana" w:hAnsi="Verdana"/>
                <w:color w:val="000000"/>
                <w:sz w:val="17"/>
                <w:szCs w:val="17"/>
              </w:rPr>
              <w:t xml:space="preserve">The Resource Specialist Program (RSP), Speech and Language Program, and other Special Education supplemental services are provided for identified students with special needs.  RSP consists of one teacher and one instructional aide who provide direct instruction according to the goals described in the Individual Education Plans (IEP). The RSP teacher uses a variety of research-based materials with RSP students in grades fifth through eighth.  Speech and Language services are provided to </w:t>
            </w:r>
            <w:proofErr w:type="gramStart"/>
            <w:r w:rsidRPr="00A73F70">
              <w:rPr>
                <w:rFonts w:ascii="Verdana" w:hAnsi="Verdana"/>
                <w:color w:val="000000"/>
                <w:sz w:val="17"/>
                <w:szCs w:val="17"/>
              </w:rPr>
              <w:t>identified</w:t>
            </w:r>
            <w:proofErr w:type="gramEnd"/>
            <w:r w:rsidRPr="00A73F70">
              <w:rPr>
                <w:rFonts w:ascii="Verdana" w:hAnsi="Verdana"/>
                <w:color w:val="000000"/>
                <w:sz w:val="17"/>
                <w:szCs w:val="17"/>
              </w:rPr>
              <w:t xml:space="preserve"> at risk through in class and or pull out models.</w:t>
            </w:r>
            <w:r w:rsidRPr="00A73F70">
              <w:br/>
            </w:r>
            <w:r w:rsidRPr="00A73F70">
              <w:br/>
            </w:r>
            <w:r w:rsidRPr="00A73F70">
              <w:rPr>
                <w:rFonts w:ascii="Verdana" w:hAnsi="Verdana"/>
                <w:color w:val="000000"/>
                <w:sz w:val="17"/>
                <w:szCs w:val="17"/>
              </w:rPr>
              <w:t>The Strategic Teaming model was implemented in grades kindergarten through sixth.  Support staff including the Instructional Specialist, Intervention Specialists, Intervention Aide, RSP teacher, Title I teacher, the SLP teacher and the ERIP teachers are teaching struggling readers in a small group setting reading for one hour daily.</w:t>
            </w:r>
            <w:r w:rsidRPr="00A73F70">
              <w:br/>
            </w:r>
            <w:r w:rsidRPr="00A73F70">
              <w:br/>
            </w:r>
            <w:r w:rsidRPr="00A73F70">
              <w:rPr>
                <w:rFonts w:ascii="Verdana" w:hAnsi="Verdana"/>
                <w:color w:val="000000"/>
                <w:sz w:val="17"/>
                <w:szCs w:val="17"/>
              </w:rPr>
              <w:t>All parents receive information regarding the school’s vision, goals, and assessment results in English, Spanish, and Chinese. Members of parent advisory councils receive results of our School’s Effectiveness Criteria Report.  Families receive information via the annual Title I meeting, monthly letters, and the School’s Accountability Report.  </w:t>
            </w:r>
            <w:r w:rsidRPr="00A73F70">
              <w:br/>
            </w:r>
            <w:r w:rsidRPr="00A73F70">
              <w:br/>
            </w:r>
            <w:r w:rsidRPr="00A73F70">
              <w:rPr>
                <w:rFonts w:ascii="Verdana" w:hAnsi="Verdana"/>
                <w:color w:val="000000"/>
                <w:sz w:val="17"/>
                <w:szCs w:val="17"/>
              </w:rPr>
              <w:t>A library aide manages the library for grades K-8 on a daily basis. Through the combined monetary resources of Granada Boosters and student body funds, library books and technology software have been purchased.</w:t>
            </w:r>
            <w:r w:rsidRPr="00A73F70">
              <w:br/>
            </w:r>
            <w:r w:rsidRPr="00A73F70">
              <w:br/>
            </w:r>
            <w:r w:rsidRPr="00A73F70">
              <w:rPr>
                <w:rFonts w:ascii="Verdana" w:hAnsi="Verdana"/>
                <w:color w:val="000000"/>
                <w:sz w:val="17"/>
                <w:szCs w:val="17"/>
              </w:rPr>
              <w:t>In grade K-3, students receive a 2 1/2 hour block of daily literacy instruction while 4th through 8th grade students receive a 2 hour block of daily literacy instruction.  Each month, teachers read the Book of the Month to their students.  Each book chosen promotes literacy not only by being well written and illustrated, but also by conveying a message that will touch the reader.  Every child’s goal is to read a million words a year in grades first through eighth.</w:t>
            </w:r>
            <w:r w:rsidRPr="00A73F70">
              <w:br/>
            </w:r>
            <w:r w:rsidRPr="00A73F70">
              <w:br/>
            </w:r>
            <w:r w:rsidRPr="00A73F70">
              <w:rPr>
                <w:rFonts w:ascii="Verdana" w:hAnsi="Verdana"/>
                <w:color w:val="000000"/>
                <w:sz w:val="17"/>
                <w:szCs w:val="17"/>
              </w:rPr>
              <w:t xml:space="preserve">Granada School continues to have double block of math in grades 6-8.  During the double block, Geometry students are at San Gabriel High School.  There are </w:t>
            </w:r>
            <w:proofErr w:type="gramStart"/>
            <w:r w:rsidRPr="00A73F70">
              <w:rPr>
                <w:rFonts w:ascii="Verdana" w:hAnsi="Verdana"/>
                <w:color w:val="000000"/>
                <w:sz w:val="17"/>
                <w:szCs w:val="17"/>
              </w:rPr>
              <w:t>two Algebra I classes, one 8th graders and one 7th graders</w:t>
            </w:r>
            <w:proofErr w:type="gramEnd"/>
            <w:r w:rsidRPr="00A73F70">
              <w:rPr>
                <w:rFonts w:ascii="Verdana" w:hAnsi="Verdana"/>
                <w:color w:val="000000"/>
                <w:sz w:val="17"/>
                <w:szCs w:val="17"/>
              </w:rPr>
              <w:t>.  During the regular school day</w:t>
            </w:r>
            <w:proofErr w:type="gramStart"/>
            <w:r w:rsidRPr="00A73F70">
              <w:rPr>
                <w:rFonts w:ascii="Verdana" w:hAnsi="Verdana"/>
                <w:color w:val="000000"/>
                <w:sz w:val="17"/>
                <w:szCs w:val="17"/>
              </w:rPr>
              <w:t>,  math</w:t>
            </w:r>
            <w:proofErr w:type="gramEnd"/>
            <w:r w:rsidRPr="00A73F70">
              <w:rPr>
                <w:rFonts w:ascii="Verdana" w:hAnsi="Verdana"/>
                <w:color w:val="000000"/>
                <w:sz w:val="17"/>
                <w:szCs w:val="17"/>
              </w:rPr>
              <w:t xml:space="preserve"> intervention is available to “at risk” students in grades K-8. All K-8 grades classes follow the district Math pacing guide. The Data Management System, OARS, provides teachers the details to show strengths and needs of every student through the district math benchmark.</w:t>
            </w:r>
            <w:r w:rsidRPr="00A73F70">
              <w:br/>
            </w:r>
            <w:r w:rsidRPr="00A73F70">
              <w:br/>
            </w:r>
            <w:r w:rsidRPr="00A73F70">
              <w:rPr>
                <w:rFonts w:ascii="Verdana" w:hAnsi="Verdana"/>
                <w:color w:val="000000"/>
                <w:sz w:val="17"/>
                <w:szCs w:val="17"/>
              </w:rPr>
              <w:t>The CAST/Leadership team collaborates to review and update the mission statement.  All decisions and actions concentrate on the school vision, school plan, and the success of all students.  Every class develops a mission statement that is reflective of the school-wide standards-driven mission statement.</w:t>
            </w:r>
            <w:r w:rsidRPr="00A73F70">
              <w:br/>
            </w:r>
            <w:r w:rsidRPr="00A73F70">
              <w:br/>
            </w:r>
            <w:r w:rsidRPr="00A73F70">
              <w:rPr>
                <w:rFonts w:ascii="Verdana" w:hAnsi="Verdana"/>
                <w:color w:val="000000"/>
                <w:sz w:val="17"/>
                <w:szCs w:val="17"/>
              </w:rPr>
              <w:t>Teachers use results from the CST’s, district ELA/Math/Reading benchmarks and the CELDT to improve instructional practices, provide interventions, and make recommendations for the School Site Council to reallocate resources.  The allocation of personnel and financial resources are focused in a variety of ways to ensure that all students receive standards-based instruction in order to help them attain proficiency.</w:t>
            </w:r>
            <w:r w:rsidRPr="00A73F70">
              <w:br/>
            </w:r>
            <w:r w:rsidRPr="00A73F70">
              <w:br/>
            </w:r>
            <w:r w:rsidRPr="00A73F70">
              <w:rPr>
                <w:rFonts w:ascii="Verdana" w:hAnsi="Verdana"/>
                <w:color w:val="000000"/>
                <w:sz w:val="17"/>
                <w:szCs w:val="17"/>
              </w:rPr>
              <w:t xml:space="preserve">The school’s technology plan allows students to use computers to enhance the standards-based curriculum during and beyond the instructional day.  The students in 8th grade are able to write and edit their writing through the My Access program.  Every student is able to work on his or her own laptop computer during his or her writing period.  Computers provide students with internet access along with graphic tools and powerful stimulations.  Over 100 computers are used instructionally throughout the school, including DHH classrooms.  Currently 75% of the classrooms have internet access. </w:t>
            </w:r>
            <w:r w:rsidRPr="00A73F70">
              <w:br/>
            </w:r>
            <w:r w:rsidRPr="00A73F70">
              <w:br/>
            </w:r>
            <w:r w:rsidRPr="00A73F70">
              <w:rPr>
                <w:rFonts w:ascii="Verdana" w:hAnsi="Verdana"/>
                <w:color w:val="000000"/>
                <w:sz w:val="17"/>
                <w:szCs w:val="17"/>
              </w:rPr>
              <w:t xml:space="preserve">In the primary classrooms, computers are used as a literacy center where students use software to access literacy related materials.  Fastt Math and Fraction Nation have been installed in the computer lab and in various classrooms. Fastt Math is a computer-generated program, which tests basic math facts. </w:t>
            </w:r>
            <w:r w:rsidRPr="00A73F70">
              <w:br/>
            </w:r>
            <w:r w:rsidRPr="00A73F70">
              <w:rPr>
                <w:rFonts w:ascii="Verdana" w:hAnsi="Verdana"/>
                <w:color w:val="000000"/>
                <w:sz w:val="17"/>
                <w:szCs w:val="17"/>
              </w:rPr>
              <w:lastRenderedPageBreak/>
              <w:t>       </w:t>
            </w:r>
            <w:r w:rsidRPr="00A73F70">
              <w:rPr>
                <w:rStyle w:val="apple-tab-span"/>
                <w:rFonts w:ascii="Verdana" w:hAnsi="Verdana"/>
                <w:color w:val="000000"/>
                <w:sz w:val="17"/>
                <w:szCs w:val="17"/>
              </w:rPr>
              <w:tab/>
            </w:r>
            <w:r w:rsidRPr="00A73F70">
              <w:rPr>
                <w:rFonts w:ascii="Verdana" w:hAnsi="Verdana"/>
                <w:color w:val="000000"/>
                <w:sz w:val="17"/>
                <w:szCs w:val="17"/>
              </w:rPr>
              <w:br/>
              <w:t>In the DHH classrooms, teachers use Board Maker, a computer program to create communication from word to a picture and support vocabulary development.  DHH teachers also use opaque overheads, which project nontransparent books, making print accessible to all students. In the eighth grade, the students use laptop computers, purchased through the district (</w:t>
            </w:r>
            <w:proofErr w:type="gramStart"/>
            <w:r w:rsidRPr="00A73F70">
              <w:rPr>
                <w:rFonts w:ascii="Verdana" w:hAnsi="Verdana"/>
                <w:color w:val="000000"/>
                <w:sz w:val="17"/>
                <w:szCs w:val="17"/>
              </w:rPr>
              <w:t>COW2 )</w:t>
            </w:r>
            <w:proofErr w:type="gramEnd"/>
            <w:r w:rsidRPr="00A73F70">
              <w:rPr>
                <w:rFonts w:ascii="Verdana" w:hAnsi="Verdana"/>
                <w:color w:val="000000"/>
                <w:sz w:val="17"/>
                <w:szCs w:val="17"/>
              </w:rPr>
              <w:t xml:space="preserve"> to access “My Access” as a tool for the writing process.  In the computer lab, which is equipped with thirty-six computers, students are able to access the internet with on-line resources and references.</w:t>
            </w:r>
            <w:r w:rsidRPr="00A73F70">
              <w:br/>
            </w:r>
            <w:r w:rsidRPr="00A73F70">
              <w:br/>
            </w:r>
            <w:r w:rsidRPr="00A73F70">
              <w:rPr>
                <w:rFonts w:ascii="Verdana" w:hAnsi="Verdana"/>
                <w:color w:val="000000"/>
                <w:sz w:val="17"/>
                <w:szCs w:val="17"/>
              </w:rPr>
              <w:t>The Title I teacher works in small groups in grades 7-8.  The classroom teacher and the Title I teacher collaborate to monitor student progress.  The Title I teacher meets with Title I students 4 days a week for 30-40 minutes.  The focus is Reading. In grades 6-8, the Title I teacher uses Read 180 reading program.</w:t>
            </w:r>
            <w:r w:rsidRPr="00A73F70">
              <w:br/>
            </w:r>
          </w:p>
        </w:tc>
      </w:tr>
    </w:tbl>
    <w:p w:rsidR="00526EF9" w:rsidRDefault="00526EF9">
      <w:pPr>
        <w:divId w:val="607086025"/>
      </w:pPr>
    </w:p>
    <w:p w:rsidR="00526EF9" w:rsidRDefault="00526EF9">
      <w:pPr>
        <w:pStyle w:val="Heading4"/>
        <w:divId w:val="607086025"/>
      </w:pPr>
      <w:r>
        <w:rPr>
          <w:color w:val="000000"/>
          <w:sz w:val="23"/>
          <w:szCs w:val="23"/>
        </w:rPr>
        <w:t>Opportunities for Parental Involvement (School Year 2010–11)</w:t>
      </w:r>
    </w:p>
    <w:tbl>
      <w:tblPr>
        <w:tblW w:w="0" w:type="auto"/>
        <w:tblLook w:val="04A0"/>
      </w:tblPr>
      <w:tblGrid>
        <w:gridCol w:w="10920"/>
      </w:tblGrid>
      <w:tr w:rsidR="00526EF9">
        <w:trPr>
          <w:divId w:val="607086025"/>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526EF9" w:rsidRDefault="00526EF9">
            <w:pPr>
              <w:pStyle w:val="NormalWeb"/>
              <w:spacing w:before="0" w:beforeAutospacing="0" w:after="0" w:afterAutospacing="0"/>
              <w:ind w:left="20" w:right="20"/>
            </w:pPr>
            <w:r>
              <w:rPr>
                <w:rFonts w:ascii="Verdana" w:hAnsi="Verdana"/>
                <w:color w:val="000000"/>
                <w:sz w:val="17"/>
                <w:szCs w:val="17"/>
              </w:rPr>
              <w:t>Parents and staff members participate in various committees that make decisions regarding the priorities and direction of the educational plan to ensure instructional programs are consistent with students’ needs and comply with District goals.  These committees include the English Learners Advisory Council (ELAC), Granada Boosters, Parent Teacher Association (PTA), School Advisory Council (SAC), and School Site Council (SSC).</w:t>
            </w:r>
          </w:p>
          <w:p w:rsidR="00526EF9" w:rsidRPr="00A73F70" w:rsidRDefault="00526EF9"/>
          <w:p w:rsidR="00526EF9" w:rsidRDefault="00526EF9">
            <w:pPr>
              <w:pStyle w:val="NormalWeb"/>
              <w:spacing w:before="0" w:beforeAutospacing="0" w:after="0" w:afterAutospacing="0"/>
              <w:ind w:left="20" w:right="20"/>
            </w:pPr>
            <w:r>
              <w:rPr>
                <w:rFonts w:ascii="Verdana" w:hAnsi="Verdana"/>
                <w:color w:val="000000"/>
                <w:sz w:val="17"/>
                <w:szCs w:val="17"/>
              </w:rPr>
              <w:t xml:space="preserve">The Alhambra Unified School District sponsors the Kindergarten through College project that is designed to educate parents about the importance of preparing for college, starting with students in Kindergarten.  The program included a parent meeting with information addressing topics such as introduction to college system, applying to college, financial aid, and saving for college. Parents were offered a variety of parent education opportunities from school staff which included: </w:t>
            </w:r>
            <w:proofErr w:type="gramStart"/>
            <w:r>
              <w:rPr>
                <w:rFonts w:ascii="Verdana" w:hAnsi="Verdana"/>
                <w:color w:val="000000"/>
                <w:sz w:val="17"/>
                <w:szCs w:val="17"/>
              </w:rPr>
              <w:t>Developmental  Assets</w:t>
            </w:r>
            <w:proofErr w:type="gramEnd"/>
            <w:r>
              <w:rPr>
                <w:rFonts w:ascii="Verdana" w:hAnsi="Verdana"/>
                <w:color w:val="000000"/>
                <w:sz w:val="17"/>
                <w:szCs w:val="17"/>
              </w:rPr>
              <w:t>; ESL; Nutrition/fitness; Latino Literacy Project and Planned Parenthood information. These classes were offered in English, Spanish, and Chinese.</w:t>
            </w:r>
          </w:p>
          <w:p w:rsidR="00526EF9" w:rsidRPr="00A73F70" w:rsidRDefault="00526EF9"/>
          <w:p w:rsidR="00526EF9" w:rsidRDefault="00526EF9">
            <w:pPr>
              <w:pStyle w:val="NormalWeb"/>
              <w:spacing w:before="0" w:beforeAutospacing="0" w:after="0" w:afterAutospacing="0" w:line="0" w:lineRule="atLeast"/>
              <w:ind w:left="20" w:right="20"/>
            </w:pPr>
            <w:r>
              <w:rPr>
                <w:rFonts w:ascii="Verdana" w:hAnsi="Verdana"/>
                <w:color w:val="000000"/>
                <w:sz w:val="17"/>
                <w:szCs w:val="17"/>
              </w:rPr>
              <w:t>The community is very supportive of the education program at Granada School.  Numerous programs and activities are enriched by the generous contributions made by the following organizations</w:t>
            </w:r>
            <w:proofErr w:type="gramStart"/>
            <w:r>
              <w:rPr>
                <w:rFonts w:ascii="Verdana" w:hAnsi="Verdana"/>
                <w:color w:val="000000"/>
                <w:sz w:val="17"/>
                <w:szCs w:val="17"/>
              </w:rPr>
              <w:t>:In</w:t>
            </w:r>
            <w:proofErr w:type="gramEnd"/>
            <w:r>
              <w:rPr>
                <w:rFonts w:ascii="Verdana" w:hAnsi="Verdana"/>
                <w:color w:val="000000"/>
                <w:sz w:val="17"/>
                <w:szCs w:val="17"/>
              </w:rPr>
              <w:t xml:space="preserve">-N-Out, Souplantation, Sizzler Restaurants, Little Caesar’s Pizza, and Shakey’s Pizza. </w:t>
            </w:r>
          </w:p>
        </w:tc>
      </w:tr>
    </w:tbl>
    <w:p w:rsidR="00526EF9" w:rsidRDefault="00526EF9">
      <w:pPr>
        <w:divId w:val="607086025"/>
      </w:pPr>
    </w:p>
    <w:p w:rsidR="00526EF9" w:rsidRDefault="00526EF9">
      <w:pPr>
        <w:pStyle w:val="Heading4"/>
        <w:divId w:val="607086025"/>
      </w:pPr>
      <w:r>
        <w:rPr>
          <w:color w:val="000000"/>
          <w:sz w:val="23"/>
          <w:szCs w:val="23"/>
        </w:rPr>
        <w:t>Student Enrollment by Grade Level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15"/>
        <w:gridCol w:w="2230"/>
        <w:gridCol w:w="2232"/>
        <w:gridCol w:w="2230"/>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Kindergarten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67</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Secondary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Enrollment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547</w:t>
            </w:r>
          </w:p>
        </w:tc>
      </w:tr>
    </w:tbl>
    <w:p w:rsidR="00526EF9" w:rsidRDefault="00526EF9">
      <w:pPr>
        <w:divId w:val="607086025"/>
      </w:pPr>
    </w:p>
    <w:p w:rsidR="00B90301" w:rsidRDefault="00B90301">
      <w:pPr>
        <w:pStyle w:val="Heading4"/>
        <w:divId w:val="607086025"/>
        <w:rPr>
          <w:color w:val="000000"/>
          <w:sz w:val="23"/>
          <w:szCs w:val="23"/>
        </w:rPr>
      </w:pPr>
    </w:p>
    <w:p w:rsidR="00B90301" w:rsidRDefault="00B90301">
      <w:pPr>
        <w:pStyle w:val="Heading4"/>
        <w:divId w:val="607086025"/>
        <w:rPr>
          <w:color w:val="000000"/>
          <w:sz w:val="23"/>
          <w:szCs w:val="23"/>
        </w:rPr>
      </w:pPr>
    </w:p>
    <w:p w:rsidR="00B90301" w:rsidRDefault="00B90301">
      <w:pPr>
        <w:pStyle w:val="Heading4"/>
        <w:divId w:val="607086025"/>
        <w:rPr>
          <w:color w:val="000000"/>
          <w:sz w:val="23"/>
          <w:szCs w:val="23"/>
        </w:rPr>
      </w:pPr>
    </w:p>
    <w:p w:rsidR="00B90301" w:rsidRDefault="00B90301">
      <w:pPr>
        <w:pStyle w:val="Heading4"/>
        <w:divId w:val="607086025"/>
        <w:rPr>
          <w:color w:val="000000"/>
          <w:sz w:val="23"/>
          <w:szCs w:val="23"/>
        </w:rPr>
      </w:pPr>
    </w:p>
    <w:p w:rsidR="00B90301" w:rsidRDefault="00B90301">
      <w:pPr>
        <w:pStyle w:val="Heading4"/>
        <w:divId w:val="607086025"/>
        <w:rPr>
          <w:color w:val="000000"/>
          <w:sz w:val="23"/>
          <w:szCs w:val="23"/>
        </w:rPr>
      </w:pPr>
    </w:p>
    <w:p w:rsidR="00526EF9" w:rsidRDefault="00526EF9">
      <w:pPr>
        <w:pStyle w:val="Heading4"/>
        <w:divId w:val="607086025"/>
      </w:pPr>
      <w:r>
        <w:rPr>
          <w:color w:val="000000"/>
          <w:sz w:val="23"/>
          <w:szCs w:val="23"/>
        </w:rPr>
        <w:lastRenderedPageBreak/>
        <w:t>Student Enrollment by Subgroup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2979"/>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Total Enrollment</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0.7%</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0.4%</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74.2%</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42.0%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13.3%</w:t>
            </w:r>
          </w:p>
        </w:tc>
      </w:tr>
    </w:tbl>
    <w:p w:rsidR="00526EF9" w:rsidRDefault="00526EF9">
      <w:pPr>
        <w:divId w:val="607086025"/>
      </w:pPr>
    </w:p>
    <w:p w:rsidR="00526EF9" w:rsidRDefault="00526EF9">
      <w:pPr>
        <w:pStyle w:val="Heading4"/>
        <w:divId w:val="607086025"/>
      </w:pPr>
      <w:r>
        <w:rPr>
          <w:color w:val="000000"/>
          <w:sz w:val="23"/>
          <w:szCs w:val="23"/>
        </w:rPr>
        <w:t>Average Class Size and Class Size Distribution (Elementary)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4"/>
        <w:gridCol w:w="1146"/>
        <w:gridCol w:w="660"/>
        <w:gridCol w:w="790"/>
        <w:gridCol w:w="707"/>
        <w:gridCol w:w="1147"/>
        <w:gridCol w:w="660"/>
        <w:gridCol w:w="790"/>
        <w:gridCol w:w="707"/>
        <w:gridCol w:w="1147"/>
        <w:gridCol w:w="660"/>
        <w:gridCol w:w="790"/>
        <w:gridCol w:w="707"/>
      </w:tblGrid>
      <w:tr w:rsidR="00526EF9">
        <w:trPr>
          <w:divId w:val="60708602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rPr>
                <w:sz w:val="2"/>
              </w:rPr>
            </w:pPr>
            <w:r w:rsidRPr="00A73F70">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rPr>
                <w:sz w:val="2"/>
              </w:rPr>
            </w:pPr>
            <w:r w:rsidRPr="00A73F70">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rPr>
                <w:sz w:val="2"/>
              </w:rPr>
            </w:pPr>
            <w:r w:rsidRPr="00A73F70">
              <w:rPr>
                <w:rFonts w:ascii="Verdana" w:hAnsi="Verdana"/>
                <w:b/>
                <w:bCs/>
                <w:color w:val="FFFFFF"/>
                <w:sz w:val="18"/>
                <w:szCs w:val="18"/>
                <w:shd w:val="clear" w:color="auto" w:fill="1A4678"/>
              </w:rPr>
              <w:t>2010–11 Number of Classes*</w:t>
            </w:r>
          </w:p>
        </w:tc>
      </w:tr>
      <w:tr w:rsidR="00526EF9">
        <w:trPr>
          <w:divId w:val="6070860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6EF9" w:rsidRDefault="00526EF9"/>
        </w:tc>
        <w:tc>
          <w:tcPr>
            <w:tcW w:w="0" w:type="auto"/>
            <w:vMerge/>
            <w:tcBorders>
              <w:top w:val="single" w:sz="4" w:space="0" w:color="auto"/>
              <w:left w:val="single" w:sz="4" w:space="0" w:color="auto"/>
              <w:bottom w:val="single" w:sz="4" w:space="0" w:color="auto"/>
              <w:right w:val="single" w:sz="4" w:space="0" w:color="auto"/>
            </w:tcBorders>
            <w:vAlign w:val="center"/>
            <w:hideMark/>
          </w:tcPr>
          <w:p w:rsidR="00526EF9" w:rsidRDefault="00526EF9"/>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6EF9" w:rsidRDefault="00526EF9"/>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6EF9" w:rsidRDefault="00526EF9"/>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16.0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19.7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15.5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19.7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19.3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19.7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32.3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31.5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32.3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30.0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32.3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bl>
    <w:p w:rsidR="00526EF9" w:rsidRDefault="00526EF9">
      <w:pPr>
        <w:divId w:val="607086025"/>
      </w:pPr>
      <w:r>
        <w:br/>
      </w:r>
      <w:r>
        <w:rPr>
          <w:rFonts w:ascii="Verdana" w:hAnsi="Verdana"/>
          <w:color w:val="555555"/>
          <w:sz w:val="17"/>
          <w:szCs w:val="17"/>
        </w:rPr>
        <w:t>* Number of classes indicates how many classes fall into each size category (a range of total students per classroom).</w:t>
      </w:r>
      <w:r>
        <w:br/>
      </w:r>
    </w:p>
    <w:p w:rsidR="00526EF9" w:rsidRDefault="00526EF9">
      <w:pPr>
        <w:pStyle w:val="Heading4"/>
        <w:divId w:val="607086025"/>
      </w:pPr>
      <w:r>
        <w:rPr>
          <w:color w:val="000000"/>
          <w:sz w:val="23"/>
          <w:szCs w:val="23"/>
        </w:rPr>
        <w:t>Average Class Size and Class Size Distribution (Secondary)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8"/>
        <w:gridCol w:w="1100"/>
        <w:gridCol w:w="632"/>
        <w:gridCol w:w="757"/>
        <w:gridCol w:w="690"/>
        <w:gridCol w:w="1100"/>
        <w:gridCol w:w="632"/>
        <w:gridCol w:w="757"/>
        <w:gridCol w:w="690"/>
        <w:gridCol w:w="1100"/>
        <w:gridCol w:w="632"/>
        <w:gridCol w:w="757"/>
        <w:gridCol w:w="690"/>
      </w:tblGrid>
      <w:tr w:rsidR="00526EF9">
        <w:trPr>
          <w:divId w:val="60708602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rPr>
                <w:sz w:val="2"/>
              </w:rPr>
            </w:pPr>
            <w:r w:rsidRPr="00A73F70">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rPr>
                <w:sz w:val="2"/>
              </w:rPr>
            </w:pPr>
            <w:r w:rsidRPr="00A73F70">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rPr>
                <w:sz w:val="2"/>
              </w:rPr>
            </w:pPr>
            <w:r w:rsidRPr="00A73F70">
              <w:rPr>
                <w:rFonts w:ascii="Verdana" w:hAnsi="Verdana"/>
                <w:b/>
                <w:bCs/>
                <w:color w:val="FFFFFF"/>
                <w:sz w:val="18"/>
                <w:szCs w:val="18"/>
                <w:shd w:val="clear" w:color="auto" w:fill="1A4678"/>
              </w:rPr>
              <w:t>2010–11 Number of Classes*</w:t>
            </w:r>
          </w:p>
        </w:tc>
      </w:tr>
      <w:tr w:rsidR="00526EF9">
        <w:trPr>
          <w:divId w:val="6070860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6EF9" w:rsidRDefault="00526EF9"/>
        </w:tc>
        <w:tc>
          <w:tcPr>
            <w:tcW w:w="0" w:type="auto"/>
            <w:vMerge/>
            <w:tcBorders>
              <w:top w:val="single" w:sz="4" w:space="0" w:color="auto"/>
              <w:left w:val="single" w:sz="4" w:space="0" w:color="auto"/>
              <w:bottom w:val="single" w:sz="4" w:space="0" w:color="auto"/>
              <w:right w:val="single" w:sz="4" w:space="0" w:color="auto"/>
            </w:tcBorders>
            <w:vAlign w:val="center"/>
            <w:hideMark/>
          </w:tcPr>
          <w:p w:rsidR="00526EF9" w:rsidRDefault="00526EF9"/>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6EF9" w:rsidRDefault="00526EF9"/>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6EF9" w:rsidRDefault="00526EF9"/>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shd w:val="clear" w:color="auto" w:fill="FFFFCC"/>
              </w:rPr>
              <w:t>30.8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shd w:val="clear" w:color="auto" w:fill="FFFFCC"/>
              </w:rPr>
              <w:t>35.0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8</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shd w:val="clear" w:color="auto" w:fill="FFFFCC"/>
              </w:rPr>
              <w:t>33.5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2</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shd w:val="clear" w:color="auto" w:fill="FFFFCC"/>
              </w:rPr>
              <w:t>34.5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3</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shd w:val="clear" w:color="auto" w:fill="FFFFCC"/>
              </w:rPr>
              <w:t>24.0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shd w:val="clear" w:color="auto" w:fill="FFFFCC"/>
              </w:rPr>
              <w:t>34.5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Heading2"/>
              <w:spacing w:line="0" w:lineRule="atLeast"/>
            </w:pPr>
            <w:r w:rsidRPr="00A73F70">
              <w:rPr>
                <w:rFonts w:ascii="Verdana" w:hAnsi="Verdana"/>
                <w:b w:val="0"/>
                <w:bCs w:val="0"/>
                <w:color w:val="666699"/>
                <w:sz w:val="17"/>
                <w:szCs w:val="17"/>
                <w:shd w:val="clear" w:color="auto" w:fill="FFFFCC"/>
              </w:rPr>
              <w:t>4</w:t>
            </w:r>
          </w:p>
        </w:tc>
      </w:tr>
    </w:tbl>
    <w:p w:rsidR="00526EF9" w:rsidRDefault="00526EF9">
      <w:pPr>
        <w:divId w:val="607086025"/>
      </w:pPr>
      <w:r>
        <w:br/>
      </w:r>
    </w:p>
    <w:p w:rsidR="00526EF9" w:rsidRDefault="00526EF9">
      <w:pPr>
        <w:pStyle w:val="Heading2"/>
        <w:divId w:val="607086025"/>
      </w:pPr>
      <w:r>
        <w:rPr>
          <w:rFonts w:ascii="Verdana" w:hAnsi="Verdana"/>
          <w:b w:val="0"/>
          <w:bCs w:val="0"/>
          <w:color w:val="555555"/>
          <w:sz w:val="17"/>
          <w:szCs w:val="17"/>
        </w:rPr>
        <w:t>* Number of classes indicates how many classrooms fall into each size category (a range of total students per classroom). At the secondary school level, this information is reported by subject area rather than grade level.</w:t>
      </w:r>
    </w:p>
    <w:p w:rsidR="00526EF9" w:rsidRDefault="00526EF9">
      <w:pPr>
        <w:divId w:val="607086025"/>
      </w:pPr>
    </w:p>
    <w:p w:rsidR="00526EF9" w:rsidRDefault="00526EF9">
      <w:pPr>
        <w:pStyle w:val="Heading2"/>
        <w:divId w:val="607086025"/>
      </w:pPr>
      <w:r>
        <w:rPr>
          <w:color w:val="000000"/>
          <w:sz w:val="32"/>
          <w:szCs w:val="32"/>
        </w:rPr>
        <w:lastRenderedPageBreak/>
        <w:t>III. School Climate</w:t>
      </w:r>
    </w:p>
    <w:p w:rsidR="00526EF9" w:rsidRDefault="00526EF9">
      <w:pPr>
        <w:pStyle w:val="Heading4"/>
        <w:divId w:val="607086025"/>
      </w:pPr>
      <w:r>
        <w:rPr>
          <w:color w:val="000000"/>
          <w:sz w:val="23"/>
          <w:szCs w:val="23"/>
        </w:rPr>
        <w:t>School Safety Plan (School Year 2010–11)</w:t>
      </w:r>
    </w:p>
    <w:tbl>
      <w:tblPr>
        <w:tblW w:w="0" w:type="auto"/>
        <w:tblLook w:val="04A0"/>
      </w:tblPr>
      <w:tblGrid>
        <w:gridCol w:w="10920"/>
      </w:tblGrid>
      <w:tr w:rsidR="00526EF9">
        <w:trPr>
          <w:divId w:val="607086025"/>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526EF9" w:rsidRDefault="00526EF9">
            <w:pPr>
              <w:widowControl w:val="0"/>
              <w:autoSpaceDE w:val="0"/>
              <w:autoSpaceDN w:val="0"/>
              <w:adjustRightInd w:val="0"/>
              <w:rPr>
                <w:color w:val="000000"/>
                <w:sz w:val="18"/>
              </w:rPr>
            </w:pPr>
            <w:r w:rsidRPr="00A73F70">
              <w:rPr>
                <w:rFonts w:ascii="Arial" w:hAnsi="Arial" w:cs="Arial"/>
                <w:bCs/>
                <w:iCs/>
                <w:color w:val="000000"/>
                <w:sz w:val="18"/>
                <w:szCs w:val="28"/>
              </w:rPr>
              <w:t>The Safety of students and staff is a primary concern. The school complies with laws, rules, and regulations pertaining to hazardous materials and State earthquake standards. The school’s disaster drills are conducted regularly</w:t>
            </w:r>
            <w:r w:rsidRPr="00A73F70">
              <w:rPr>
                <w:color w:val="000000"/>
                <w:sz w:val="18"/>
              </w:rPr>
              <w:t xml:space="preserve"> </w:t>
            </w:r>
            <w:r w:rsidRPr="00A73F70">
              <w:rPr>
                <w:rFonts w:ascii="Arial" w:hAnsi="Arial" w:cs="Arial"/>
                <w:bCs/>
                <w:iCs/>
                <w:color w:val="000000"/>
                <w:sz w:val="18"/>
                <w:szCs w:val="28"/>
              </w:rPr>
              <w:t>throughout the school year. All visitors must check in at the school office and wear visitors’ badges while on school grounds.</w:t>
            </w:r>
            <w:r w:rsidRPr="00A73F70">
              <w:rPr>
                <w:color w:val="000000"/>
                <w:sz w:val="18"/>
              </w:rPr>
              <w:t xml:space="preserve">  </w:t>
            </w:r>
            <w:r w:rsidRPr="00A73F70">
              <w:rPr>
                <w:rFonts w:ascii="Arial" w:hAnsi="Arial" w:cs="Arial"/>
                <w:bCs/>
                <w:iCs/>
                <w:color w:val="000000"/>
                <w:sz w:val="18"/>
                <w:szCs w:val="28"/>
              </w:rPr>
              <w:t>During lunch, recesses, and before and after school, yard supervisors monitor students and</w:t>
            </w:r>
            <w:r w:rsidRPr="00A73F70">
              <w:rPr>
                <w:color w:val="000000"/>
                <w:sz w:val="18"/>
              </w:rPr>
              <w:t xml:space="preserve"> </w:t>
            </w:r>
            <w:r w:rsidRPr="00A73F70">
              <w:rPr>
                <w:rFonts w:ascii="Arial" w:hAnsi="Arial" w:cs="Arial"/>
                <w:bCs/>
                <w:iCs/>
                <w:color w:val="000000"/>
                <w:sz w:val="18"/>
                <w:szCs w:val="28"/>
              </w:rPr>
              <w:t>school grounds, including the cafeteria and playgrounds, to ensure a safe and orderly environment.</w:t>
            </w:r>
          </w:p>
          <w:p w:rsidR="00526EF9" w:rsidRPr="00A73F70" w:rsidRDefault="00526EF9">
            <w:pPr>
              <w:widowControl w:val="0"/>
              <w:autoSpaceDE w:val="0"/>
              <w:autoSpaceDN w:val="0"/>
              <w:adjustRightInd w:val="0"/>
              <w:rPr>
                <w:rFonts w:ascii="Arial" w:hAnsi="Arial" w:cs="Arial"/>
                <w:bCs/>
                <w:iCs/>
                <w:color w:val="000000"/>
                <w:sz w:val="18"/>
                <w:szCs w:val="28"/>
              </w:rPr>
            </w:pPr>
          </w:p>
          <w:p w:rsidR="00526EF9" w:rsidRDefault="00526EF9">
            <w:pPr>
              <w:widowControl w:val="0"/>
              <w:autoSpaceDE w:val="0"/>
              <w:autoSpaceDN w:val="0"/>
              <w:adjustRightInd w:val="0"/>
              <w:rPr>
                <w:color w:val="000000"/>
                <w:sz w:val="18"/>
              </w:rPr>
            </w:pPr>
            <w:r w:rsidRPr="00A73F70">
              <w:rPr>
                <w:rFonts w:ascii="Arial" w:hAnsi="Arial" w:cs="Arial"/>
                <w:bCs/>
                <w:iCs/>
                <w:color w:val="000000"/>
                <w:sz w:val="18"/>
                <w:szCs w:val="28"/>
              </w:rPr>
              <w:t>The Comprehensive School Safety Plan was developed by the School Site Council in cooperation with local law enforcement in</w:t>
            </w:r>
            <w:r w:rsidRPr="00A73F70">
              <w:rPr>
                <w:color w:val="000000"/>
                <w:sz w:val="18"/>
              </w:rPr>
              <w:t xml:space="preserve"> </w:t>
            </w:r>
            <w:r w:rsidRPr="00A73F70">
              <w:rPr>
                <w:rFonts w:ascii="Arial" w:hAnsi="Arial" w:cs="Arial"/>
                <w:bCs/>
                <w:iCs/>
                <w:color w:val="000000"/>
                <w:sz w:val="18"/>
                <w:szCs w:val="28"/>
              </w:rPr>
              <w:t>order to comply with Senate Bill 187 of 1997. The plan provides students and staff a means to ensure a safe and orderly learning</w:t>
            </w:r>
            <w:r w:rsidRPr="00A73F70">
              <w:rPr>
                <w:color w:val="000000"/>
                <w:sz w:val="18"/>
              </w:rPr>
              <w:t xml:space="preserve"> </w:t>
            </w:r>
            <w:r w:rsidRPr="00A73F70">
              <w:rPr>
                <w:rFonts w:ascii="Arial" w:hAnsi="Arial" w:cs="Arial"/>
                <w:bCs/>
                <w:iCs/>
                <w:color w:val="000000"/>
                <w:sz w:val="18"/>
                <w:szCs w:val="28"/>
              </w:rPr>
              <w:t>environment. Components of the Comprehensive School Safety Plan include child abuse reporting procedures, teacher</w:t>
            </w:r>
            <w:r w:rsidRPr="00A73F70">
              <w:rPr>
                <w:color w:val="000000"/>
                <w:sz w:val="18"/>
              </w:rPr>
              <w:t xml:space="preserve"> </w:t>
            </w:r>
            <w:r w:rsidRPr="00A73F70">
              <w:rPr>
                <w:rFonts w:ascii="Arial" w:hAnsi="Arial" w:cs="Arial"/>
                <w:bCs/>
                <w:iCs/>
                <w:color w:val="000000"/>
                <w:sz w:val="18"/>
                <w:szCs w:val="28"/>
              </w:rPr>
              <w:t xml:space="preserve">notification of dangerous </w:t>
            </w:r>
            <w:proofErr w:type="gramStart"/>
            <w:r w:rsidRPr="00A73F70">
              <w:rPr>
                <w:rFonts w:ascii="Arial" w:hAnsi="Arial" w:cs="Arial"/>
                <w:bCs/>
                <w:iCs/>
                <w:color w:val="000000"/>
                <w:sz w:val="18"/>
                <w:szCs w:val="28"/>
              </w:rPr>
              <w:t>pupils</w:t>
            </w:r>
            <w:proofErr w:type="gramEnd"/>
            <w:r w:rsidRPr="00A73F70">
              <w:rPr>
                <w:rFonts w:ascii="Arial" w:hAnsi="Arial" w:cs="Arial"/>
                <w:bCs/>
                <w:iCs/>
                <w:color w:val="000000"/>
                <w:sz w:val="18"/>
                <w:szCs w:val="28"/>
              </w:rPr>
              <w:t xml:space="preserve"> procedures, disaster response procedures, procedures for safe ingress and egress from school,</w:t>
            </w:r>
            <w:r w:rsidRPr="00A73F70">
              <w:rPr>
                <w:color w:val="000000"/>
                <w:sz w:val="18"/>
              </w:rPr>
              <w:t xml:space="preserve"> </w:t>
            </w:r>
            <w:r w:rsidRPr="00A73F70">
              <w:rPr>
                <w:rFonts w:ascii="Arial" w:hAnsi="Arial" w:cs="Arial"/>
                <w:bCs/>
                <w:iCs/>
                <w:color w:val="000000"/>
                <w:sz w:val="18"/>
                <w:szCs w:val="28"/>
              </w:rPr>
              <w:t>sexual harassment policy, and suspension and expulsion policies. The School Site Council evaluates the plan annually and</w:t>
            </w:r>
            <w:r w:rsidRPr="00A73F70">
              <w:rPr>
                <w:color w:val="000000"/>
                <w:sz w:val="18"/>
              </w:rPr>
              <w:t xml:space="preserve"> </w:t>
            </w:r>
            <w:r w:rsidRPr="00A73F70">
              <w:rPr>
                <w:rFonts w:ascii="Arial" w:hAnsi="Arial" w:cs="Arial"/>
                <w:bCs/>
                <w:iCs/>
                <w:color w:val="000000"/>
                <w:sz w:val="18"/>
                <w:szCs w:val="28"/>
              </w:rPr>
              <w:t>updates the plan as needed. The plan was last updated and reviewed with school staff in March 2010. An updated copy is</w:t>
            </w:r>
            <w:r w:rsidRPr="00A73F70">
              <w:rPr>
                <w:color w:val="000000"/>
                <w:sz w:val="18"/>
              </w:rPr>
              <w:t xml:space="preserve"> </w:t>
            </w:r>
            <w:r w:rsidRPr="00A73F70">
              <w:rPr>
                <w:rFonts w:ascii="Arial" w:hAnsi="Arial" w:cs="Arial"/>
                <w:bCs/>
                <w:iCs/>
                <w:color w:val="000000"/>
                <w:sz w:val="18"/>
                <w:szCs w:val="28"/>
              </w:rPr>
              <w:t>available to the public at the school and district offices.</w:t>
            </w:r>
          </w:p>
        </w:tc>
      </w:tr>
    </w:tbl>
    <w:p w:rsidR="00526EF9" w:rsidRDefault="00526EF9">
      <w:pPr>
        <w:divId w:val="607086025"/>
      </w:pPr>
    </w:p>
    <w:p w:rsidR="00526EF9" w:rsidRDefault="00526EF9">
      <w:pPr>
        <w:pStyle w:val="Heading4"/>
        <w:divId w:val="607086025"/>
      </w:pPr>
      <w:r>
        <w:rPr>
          <w:color w:val="000000"/>
          <w:sz w:val="23"/>
          <w:szCs w:val="23"/>
        </w:rPr>
        <w:t>Suspensions and Expulsions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5"/>
        <w:gridCol w:w="1561"/>
        <w:gridCol w:w="1560"/>
        <w:gridCol w:w="1560"/>
        <w:gridCol w:w="1628"/>
        <w:gridCol w:w="1628"/>
        <w:gridCol w:w="1628"/>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Rate*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Suspensions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2.35%</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Expulsions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0.30%</w:t>
            </w:r>
          </w:p>
        </w:tc>
      </w:tr>
    </w:tbl>
    <w:p w:rsidR="00526EF9" w:rsidRDefault="00526EF9">
      <w:pPr>
        <w:divId w:val="607086025"/>
      </w:pPr>
      <w:r>
        <w:br/>
      </w:r>
      <w:r>
        <w:rPr>
          <w:rFonts w:ascii="Verdana" w:hAnsi="Verdana"/>
          <w:color w:val="555555"/>
          <w:sz w:val="17"/>
          <w:szCs w:val="17"/>
        </w:rPr>
        <w:t>* The rate of suspensions and expulsions is calculated by dividing the total number of incidents by the total enrollment.</w:t>
      </w:r>
    </w:p>
    <w:p w:rsidR="00526EF9" w:rsidRDefault="00526EF9">
      <w:pPr>
        <w:pStyle w:val="Heading2"/>
        <w:divId w:val="607086025"/>
      </w:pPr>
      <w:r>
        <w:rPr>
          <w:color w:val="000000"/>
          <w:sz w:val="32"/>
          <w:szCs w:val="32"/>
        </w:rPr>
        <w:t>IV. School Facilities</w:t>
      </w:r>
    </w:p>
    <w:p w:rsidR="00526EF9" w:rsidRDefault="00526EF9">
      <w:pPr>
        <w:pStyle w:val="Heading4"/>
        <w:divId w:val="607086025"/>
      </w:pPr>
      <w:r>
        <w:rPr>
          <w:color w:val="000000"/>
          <w:sz w:val="23"/>
          <w:szCs w:val="23"/>
        </w:rPr>
        <w:t>School Facility Conditions and Planned Improvements (School Year 2011–12)</w:t>
      </w:r>
    </w:p>
    <w:tbl>
      <w:tblPr>
        <w:tblW w:w="0" w:type="auto"/>
        <w:tblLook w:val="04A0"/>
      </w:tblPr>
      <w:tblGrid>
        <w:gridCol w:w="10920"/>
      </w:tblGrid>
      <w:tr w:rsidR="00526EF9">
        <w:trPr>
          <w:divId w:val="607086025"/>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526EF9" w:rsidRDefault="00526EF9">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The roof and skylight on the main building was replaced last summer and the carpet in the office has been replaced.  No other major repairs or improvements are scheduled at this time.</w:t>
            </w:r>
          </w:p>
        </w:tc>
      </w:tr>
    </w:tbl>
    <w:p w:rsidR="00526EF9" w:rsidRDefault="00526EF9">
      <w:pPr>
        <w:divId w:val="607086025"/>
      </w:pPr>
    </w:p>
    <w:p w:rsidR="00526EF9" w:rsidRDefault="00526EF9">
      <w:pPr>
        <w:pStyle w:val="Heading4"/>
        <w:divId w:val="607086025"/>
      </w:pPr>
      <w:r>
        <w:rPr>
          <w:color w:val="000000"/>
          <w:sz w:val="23"/>
          <w:szCs w:val="23"/>
        </w:rPr>
        <w:t>School Facility Good Repair Status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43"/>
        <w:gridCol w:w="1179"/>
        <w:gridCol w:w="661"/>
        <w:gridCol w:w="537"/>
        <w:gridCol w:w="613"/>
        <w:gridCol w:w="4087"/>
      </w:tblGrid>
      <w:tr w:rsidR="00526EF9">
        <w:trPr>
          <w:divId w:val="60708602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System Inspected</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rPr>
                <w:sz w:val="2"/>
              </w:rPr>
            </w:pPr>
            <w:r w:rsidRPr="00A73F70">
              <w:rPr>
                <w:rFonts w:ascii="Verdana" w:hAnsi="Verdana"/>
                <w:b/>
                <w:bCs/>
                <w:color w:val="FFFFFF"/>
                <w:sz w:val="18"/>
                <w:szCs w:val="18"/>
                <w:shd w:val="clear" w:color="auto" w:fill="1A4678"/>
              </w:rPr>
              <w:t>Repair Status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Repair Needed and Action Taken or Planned</w:t>
            </w:r>
          </w:p>
        </w:tc>
      </w:tr>
      <w:tr w:rsidR="00526EF9">
        <w:trPr>
          <w:divId w:val="6070860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6EF9" w:rsidRDefault="00526EF9"/>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Exemplary</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Good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Fair</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Poor</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6EF9" w:rsidRDefault="00526EF9"/>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Systems: </w:t>
            </w:r>
            <w:r>
              <w:rPr>
                <w:rFonts w:ascii="Verdana" w:hAnsi="Verdana"/>
                <w:color w:val="666699"/>
                <w:sz w:val="17"/>
                <w:szCs w:val="17"/>
                <w:shd w:val="clear" w:color="auto" w:fill="FFFFCC"/>
              </w:rPr>
              <w:t>Gas Leaks, Mechanical/HVAC, Sewer</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Interior: </w:t>
            </w:r>
            <w:r>
              <w:rPr>
                <w:rFonts w:ascii="Verdana" w:hAnsi="Verdana"/>
                <w:color w:val="666699"/>
                <w:sz w:val="17"/>
                <w:szCs w:val="17"/>
                <w:shd w:val="clear" w:color="auto" w:fill="FFFFCC"/>
              </w:rPr>
              <w:t>Interior Surfaces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Some classroom floor and ceiling tiles need to be changed.  Several rooms need the carpet changed.</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Cleanliness: </w:t>
            </w:r>
            <w:r>
              <w:rPr>
                <w:rFonts w:ascii="Verdana" w:hAnsi="Verdana"/>
                <w:color w:val="666699"/>
                <w:sz w:val="17"/>
                <w:szCs w:val="17"/>
                <w:shd w:val="clear" w:color="auto" w:fill="FFFFCC"/>
              </w:rPr>
              <w:t>Overall Cleanliness, Pest/ Vermin Infestation</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Electrical: </w:t>
            </w:r>
            <w:r>
              <w:rPr>
                <w:rFonts w:ascii="Verdana" w:hAnsi="Verdana"/>
                <w:color w:val="666699"/>
                <w:sz w:val="17"/>
                <w:szCs w:val="17"/>
                <w:shd w:val="clear" w:color="auto" w:fill="FFFFCC"/>
              </w:rPr>
              <w:t>Electrical</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Restrooms/Fountains: </w:t>
            </w:r>
            <w:r>
              <w:rPr>
                <w:rFonts w:ascii="Verdana" w:hAnsi="Verdana"/>
                <w:color w:val="666699"/>
                <w:sz w:val="17"/>
                <w:szCs w:val="17"/>
                <w:shd w:val="clear" w:color="auto" w:fill="FFFFCC"/>
              </w:rPr>
              <w:t>Restrooms, Sinks/ Fountains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Safety: </w:t>
            </w:r>
            <w:r>
              <w:rPr>
                <w:rFonts w:ascii="Verdana" w:hAnsi="Verdana"/>
                <w:color w:val="666699"/>
                <w:sz w:val="17"/>
                <w:szCs w:val="17"/>
                <w:shd w:val="clear" w:color="auto" w:fill="FFFFCC"/>
              </w:rPr>
              <w:t>Fire Safety, Hazardous Materials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Structural: </w:t>
            </w:r>
            <w:r>
              <w:rPr>
                <w:rFonts w:ascii="Verdana" w:hAnsi="Verdana"/>
                <w:color w:val="666699"/>
                <w:sz w:val="17"/>
                <w:szCs w:val="17"/>
                <w:shd w:val="clear" w:color="auto" w:fill="FFFFCC"/>
              </w:rPr>
              <w:t>Structural Damage, Roofs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External: </w:t>
            </w:r>
            <w:r>
              <w:rPr>
                <w:rFonts w:ascii="Verdana" w:hAnsi="Verdana"/>
                <w:color w:val="666699"/>
                <w:sz w:val="17"/>
                <w:szCs w:val="17"/>
                <w:shd w:val="clear" w:color="auto" w:fill="FFFFCC"/>
              </w:rPr>
              <w:t>Playground/School Grounds, Windows/ Doors/Gates/Fences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Overall Rating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vAlign w:val="center"/>
            <w:hideMark/>
          </w:tcPr>
          <w:p w:rsidR="00526EF9" w:rsidRDefault="00526EF9">
            <w:pPr>
              <w:rPr>
                <w:sz w:val="20"/>
                <w:szCs w:val="20"/>
              </w:rPr>
            </w:pPr>
          </w:p>
        </w:tc>
      </w:tr>
    </w:tbl>
    <w:p w:rsidR="00526EF9" w:rsidRDefault="00526EF9">
      <w:pPr>
        <w:divId w:val="607086025"/>
      </w:pPr>
      <w:r>
        <w:rPr>
          <w:rFonts w:ascii="Verdana" w:hAnsi="Verdana"/>
          <w:color w:val="555555"/>
          <w:sz w:val="17"/>
          <w:szCs w:val="17"/>
        </w:rPr>
        <w:t>Note: Cells shaded in black do not require data.</w:t>
      </w:r>
    </w:p>
    <w:p w:rsidR="00526EF9" w:rsidRDefault="00526EF9">
      <w:pPr>
        <w:pStyle w:val="Heading2"/>
        <w:divId w:val="607086025"/>
      </w:pPr>
      <w:r>
        <w:rPr>
          <w:color w:val="000000"/>
          <w:sz w:val="32"/>
          <w:szCs w:val="32"/>
        </w:rPr>
        <w:lastRenderedPageBreak/>
        <w:t>V. Teachers</w:t>
      </w:r>
    </w:p>
    <w:p w:rsidR="00526EF9" w:rsidRDefault="00526EF9">
      <w:pPr>
        <w:pStyle w:val="Heading4"/>
        <w:divId w:val="607086025"/>
      </w:pPr>
      <w:r>
        <w:rPr>
          <w:color w:val="000000"/>
          <w:sz w:val="23"/>
          <w:szCs w:val="23"/>
        </w:rPr>
        <w:t>Teacher Credentials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35"/>
        <w:gridCol w:w="1505"/>
        <w:gridCol w:w="1504"/>
        <w:gridCol w:w="1504"/>
        <w:gridCol w:w="1572"/>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694</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Teaching Outside Subject Area of Competence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bl>
    <w:p w:rsidR="00526EF9" w:rsidRDefault="00526EF9">
      <w:pPr>
        <w:divId w:val="607086025"/>
      </w:pPr>
    </w:p>
    <w:p w:rsidR="00526EF9" w:rsidRDefault="00526EF9">
      <w:pPr>
        <w:pStyle w:val="Heading4"/>
        <w:divId w:val="607086025"/>
      </w:pPr>
      <w:r>
        <w:rPr>
          <w:color w:val="000000"/>
          <w:sz w:val="23"/>
          <w:szCs w:val="23"/>
        </w:rPr>
        <w:t>Teacher Misassignments and Vacant Teacher Positions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48"/>
        <w:gridCol w:w="1096"/>
        <w:gridCol w:w="1096"/>
        <w:gridCol w:w="1096"/>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2011–12</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Misassignments of Teachers of English Learners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Teacher Misassignments*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Vacant Teacher Positions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18</w:t>
            </w:r>
          </w:p>
        </w:tc>
      </w:tr>
    </w:tbl>
    <w:p w:rsidR="00526EF9" w:rsidRDefault="00526EF9">
      <w:pPr>
        <w:divId w:val="607086025"/>
      </w:pPr>
      <w:r>
        <w:br/>
      </w:r>
      <w:r>
        <w:rPr>
          <w:rFonts w:ascii="Verdana" w:hAnsi="Verdana"/>
          <w:color w:val="555555"/>
          <w:sz w:val="17"/>
          <w:szCs w:val="17"/>
        </w:rPr>
        <w:t>Note: “Misassignments” refers to the number of positions filled by teachers who lack legal authorization to teach that grade level, subject area, student group, etc.</w:t>
      </w:r>
      <w:r>
        <w:br/>
      </w:r>
      <w:r>
        <w:br/>
      </w:r>
      <w:r>
        <w:rPr>
          <w:rFonts w:ascii="Verdana" w:hAnsi="Verdana"/>
          <w:color w:val="555555"/>
          <w:sz w:val="17"/>
          <w:szCs w:val="17"/>
        </w:rPr>
        <w:t xml:space="preserve">* </w:t>
      </w:r>
      <w:r>
        <w:rPr>
          <w:rFonts w:ascii="Verdana" w:hAnsi="Verdana"/>
          <w:i/>
          <w:iCs/>
          <w:color w:val="555555"/>
          <w:sz w:val="17"/>
          <w:szCs w:val="17"/>
        </w:rPr>
        <w:t>Total Teacher Misassignments</w:t>
      </w:r>
      <w:r>
        <w:rPr>
          <w:rFonts w:ascii="Verdana" w:hAnsi="Verdana"/>
          <w:color w:val="555555"/>
          <w:sz w:val="17"/>
          <w:szCs w:val="17"/>
        </w:rPr>
        <w:t xml:space="preserve"> includes the number of </w:t>
      </w:r>
      <w:r>
        <w:rPr>
          <w:rFonts w:ascii="Verdana" w:hAnsi="Verdana"/>
          <w:i/>
          <w:iCs/>
          <w:color w:val="555555"/>
          <w:sz w:val="17"/>
          <w:szCs w:val="17"/>
        </w:rPr>
        <w:t>Misassignments of Teachers of English Learners</w:t>
      </w:r>
      <w:r>
        <w:rPr>
          <w:rFonts w:ascii="Verdana" w:hAnsi="Verdana"/>
          <w:color w:val="555555"/>
          <w:sz w:val="17"/>
          <w:szCs w:val="17"/>
        </w:rPr>
        <w:t>.</w:t>
      </w:r>
    </w:p>
    <w:p w:rsidR="00526EF9" w:rsidRDefault="00526EF9">
      <w:pPr>
        <w:pStyle w:val="Heading4"/>
        <w:divId w:val="607086025"/>
      </w:pPr>
      <w:r>
        <w:rPr>
          <w:color w:val="000000"/>
          <w:sz w:val="23"/>
          <w:szCs w:val="23"/>
        </w:rPr>
        <w:t>Core Academic Classes Taught by Highly Qualified Teachers (School Year 2010–11)</w:t>
      </w:r>
    </w:p>
    <w:p w:rsidR="00526EF9" w:rsidRDefault="00526EF9">
      <w:pPr>
        <w:divId w:val="607086025"/>
        <w:rPr>
          <w:rFonts w:ascii="Verdana" w:hAnsi="Verdana"/>
          <w:color w:val="555555"/>
          <w:sz w:val="17"/>
          <w:szCs w:val="17"/>
        </w:rPr>
      </w:pPr>
      <w:r>
        <w:rPr>
          <w:rFonts w:ascii="Verdana" w:hAnsi="Verdana"/>
          <w:color w:val="555555"/>
          <w:sz w:val="17"/>
          <w:szCs w:val="17"/>
        </w:rPr>
        <w:t xml:space="preserve">The Federal Elementary and Secondary Education Act (ESEA), also known as No Child Left Behind (NCLB), requires that core academic subjects be taught by Highly Qualified Teachers, defined as having at least a bachelor’s degree, an appropriate California teaching credential, and demonstrated core academic subject area competence. For more information, see the CDE </w:t>
      </w:r>
      <w:r>
        <w:rPr>
          <w:rFonts w:ascii="Verdana" w:hAnsi="Verdana"/>
          <w:i/>
          <w:iCs/>
          <w:color w:val="555555"/>
          <w:sz w:val="17"/>
          <w:szCs w:val="17"/>
        </w:rPr>
        <w:t>Improving Teacher and Principal Quality</w:t>
      </w:r>
      <w:r>
        <w:rPr>
          <w:rFonts w:ascii="Verdana" w:hAnsi="Verdana"/>
          <w:color w:val="555555"/>
          <w:sz w:val="17"/>
          <w:szCs w:val="17"/>
        </w:rPr>
        <w:t xml:space="preserve"> Web page at:</w:t>
      </w:r>
      <w:hyperlink r:id="rId7" w:history="1">
        <w:r>
          <w:rPr>
            <w:rStyle w:val="Hyperlink"/>
            <w:rFonts w:ascii="Verdana" w:hAnsi="Verdana"/>
            <w:color w:val="555555"/>
            <w:sz w:val="17"/>
            <w:szCs w:val="17"/>
          </w:rPr>
          <w:t xml:space="preserve"> http://www.cde.ca.gov/nclb/sr/tq/</w:t>
        </w:r>
      </w:hyperlink>
      <w:r>
        <w:rPr>
          <w:rFonts w:ascii="Verdana" w:hAnsi="Verdana"/>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5"/>
        <w:gridCol w:w="4362"/>
        <w:gridCol w:w="4543"/>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Pr="00B90301" w:rsidRDefault="00526EF9">
            <w:pPr>
              <w:pStyle w:val="NormalWeb"/>
              <w:spacing w:before="0" w:beforeAutospacing="0" w:after="0" w:afterAutospacing="0" w:line="0" w:lineRule="atLeast"/>
              <w:ind w:left="40" w:right="40"/>
              <w:jc w:val="center"/>
              <w:rPr>
                <w:color w:val="FFFFFF"/>
              </w:rPr>
            </w:pPr>
            <w:r w:rsidRPr="00B90301">
              <w:rPr>
                <w:b/>
                <w:bCs/>
                <w:color w:val="FFFFFF"/>
              </w:rPr>
              <w:t>Location of Classes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Taught by Highly Qualified 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Not Taught by Highly Qualified Teachers</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This School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0.00%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0.69%</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0.69%</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Low-Poverty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0.00%</w:t>
            </w:r>
          </w:p>
        </w:tc>
      </w:tr>
    </w:tbl>
    <w:p w:rsidR="00526EF9" w:rsidRDefault="00526EF9">
      <w:pPr>
        <w:divId w:val="607086025"/>
        <w:rPr>
          <w:color w:val="555555"/>
        </w:rPr>
      </w:pPr>
      <w:r>
        <w:rPr>
          <w:color w:val="555555"/>
        </w:rPr>
        <w:br/>
      </w:r>
      <w:r>
        <w:rPr>
          <w:rFonts w:ascii="Verdana" w:hAnsi="Verdana"/>
          <w:color w:val="555555"/>
          <w:sz w:val="17"/>
          <w:szCs w:val="17"/>
        </w:rPr>
        <w:t>Note: High-poverty schools are defined as those schools with student eligibility of approximately 40 percent or more in the free and reduced price meals program. Low-poverty schools are those with student eligibility of approximately 25 percent or less in the free and reduced price meals program.</w:t>
      </w:r>
    </w:p>
    <w:p w:rsidR="00526EF9" w:rsidRDefault="00526EF9">
      <w:pPr>
        <w:pStyle w:val="Heading2"/>
        <w:divId w:val="607086025"/>
      </w:pPr>
      <w:r>
        <w:rPr>
          <w:color w:val="000000"/>
          <w:sz w:val="32"/>
          <w:szCs w:val="32"/>
        </w:rPr>
        <w:t>VI. Support Staff</w:t>
      </w:r>
    </w:p>
    <w:p w:rsidR="00526EF9" w:rsidRDefault="00526EF9">
      <w:pPr>
        <w:pStyle w:val="Heading4"/>
        <w:divId w:val="607086025"/>
      </w:pPr>
      <w:r>
        <w:rPr>
          <w:color w:val="000000"/>
          <w:sz w:val="23"/>
          <w:szCs w:val="23"/>
        </w:rPr>
        <w:t>Academic Counselors and Other Support Staff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13"/>
        <w:gridCol w:w="2733"/>
        <w:gridCol w:w="3874"/>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Title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FTE* Assigned to 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Number of Students per Academic Counselor</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Academic Counselor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Counselor (Social/Behavioral or Career Development)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lastRenderedPageBreak/>
              <w:t>Library Media Teacher (librarian)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Services Staff (paraprofessional)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Psychologist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Worker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Nurse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0.5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Speech/Language/Hearing Specialist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Resource Specialist (non-teaching)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r>
    </w:tbl>
    <w:p w:rsidR="00526EF9" w:rsidRDefault="00526EF9">
      <w:pPr>
        <w:divId w:val="607086025"/>
        <w:rPr>
          <w:color w:val="555555"/>
        </w:rPr>
      </w:pPr>
      <w:r>
        <w:rPr>
          <w:color w:val="555555"/>
        </w:rPr>
        <w:br/>
      </w:r>
      <w:r>
        <w:rPr>
          <w:rFonts w:ascii="Verdana" w:hAnsi="Verdana"/>
          <w:color w:val="555555"/>
          <w:sz w:val="17"/>
          <w:szCs w:val="17"/>
        </w:rPr>
        <w:t>Note: Cells shaded in black do not require data.</w:t>
      </w:r>
      <w:r>
        <w:rPr>
          <w:color w:val="555555"/>
        </w:rPr>
        <w:br/>
      </w:r>
      <w:r>
        <w:rPr>
          <w:rFonts w:ascii="Verdana" w:hAnsi="Verdana"/>
          <w:color w:val="555555"/>
          <w:sz w:val="17"/>
          <w:szCs w:val="17"/>
        </w:rPr>
        <w:t>* One Full-Time Equivalent (FTE) equals one staff member working full-time; one FTE could also represent two staff members who each work 50 percent of full-time.</w:t>
      </w:r>
    </w:p>
    <w:p w:rsidR="00526EF9" w:rsidRDefault="00526EF9">
      <w:pPr>
        <w:pStyle w:val="Heading2"/>
        <w:divId w:val="607086025"/>
      </w:pPr>
      <w:r>
        <w:rPr>
          <w:color w:val="000000"/>
          <w:sz w:val="32"/>
          <w:szCs w:val="32"/>
        </w:rPr>
        <w:t>VII. Curriculum and Instructional Materials</w:t>
      </w:r>
    </w:p>
    <w:p w:rsidR="00526EF9" w:rsidRDefault="00526EF9">
      <w:pPr>
        <w:pStyle w:val="Heading4"/>
        <w:divId w:val="607086025"/>
      </w:pPr>
      <w:r>
        <w:rPr>
          <w:color w:val="000000"/>
          <w:sz w:val="23"/>
          <w:szCs w:val="23"/>
        </w:rPr>
        <w:t>Quality, Currency, Availability of Textbooks and Instructional Materials (School Year 2011–12)</w:t>
      </w:r>
    </w:p>
    <w:p w:rsidR="00526EF9" w:rsidRDefault="00526EF9">
      <w:pPr>
        <w:divId w:val="607086025"/>
        <w:rPr>
          <w:color w:val="555555"/>
        </w:rPr>
      </w:pPr>
      <w:r>
        <w:rPr>
          <w:rFonts w:ascii="Verdana" w:hAnsi="Verdana"/>
          <w:color w:val="555555"/>
          <w:sz w:val="17"/>
          <w:szCs w:val="17"/>
        </w:rPr>
        <w:t>This section describes whether the textbooks and instructional materials used at the school are from the most recent adoption; whether there are sufficient textbooks and instruction materials for each student; and information about the school’s use of any supplemental curriculum or non-adopted textbooks or instructional materials.</w:t>
      </w:r>
      <w:r>
        <w:rPr>
          <w:color w:val="555555"/>
        </w:rPr>
        <w:br/>
      </w:r>
      <w:r>
        <w:rPr>
          <w:rFonts w:ascii="Verdana" w:hAnsi="Verdana"/>
          <w:b/>
          <w:bCs/>
          <w:color w:val="555555"/>
          <w:sz w:val="17"/>
          <w:szCs w:val="17"/>
        </w:rPr>
        <w:t>Year and month in which data were collected: December 2011</w:t>
      </w:r>
      <w:r>
        <w:rPr>
          <w:color w:val="555555"/>
        </w:rPr>
        <w:br/>
      </w:r>
      <w:r>
        <w:rPr>
          <w:rFonts w:ascii="Verdana" w:hAnsi="Verdana"/>
          <w:b/>
          <w:bCs/>
          <w:color w:val="555555"/>
          <w:sz w:val="17"/>
          <w:szCs w:val="17"/>
        </w:rPr>
        <w:t>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91"/>
        <w:gridCol w:w="3421"/>
        <w:gridCol w:w="1955"/>
        <w:gridCol w:w="2553"/>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Textbooks and instructional materials/year of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From most recent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students lacking own assigned copy</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jc w:val="center"/>
            </w:pPr>
            <w:r>
              <w:rPr>
                <w:rFonts w:ascii="Verdana" w:hAnsi="Verdana"/>
                <w:color w:val="666699"/>
                <w:sz w:val="17"/>
                <w:szCs w:val="17"/>
                <w:shd w:val="clear" w:color="auto" w:fill="FFFFCC"/>
              </w:rPr>
              <w:t>K-5: Houghton Mifflin, 2009</w:t>
            </w:r>
          </w:p>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McDougal Littell, 2002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jc w:val="center"/>
            </w:pPr>
            <w:r>
              <w:rPr>
                <w:rFonts w:ascii="Verdana" w:hAnsi="Verdana"/>
                <w:color w:val="666699"/>
                <w:sz w:val="17"/>
                <w:szCs w:val="17"/>
                <w:shd w:val="clear" w:color="auto" w:fill="FFFFCC"/>
              </w:rPr>
              <w:t>K-5: Harcourt School Publishers, 2008</w:t>
            </w:r>
          </w:p>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McDougal Littell, 2008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jc w:val="center"/>
            </w:pPr>
            <w:r>
              <w:rPr>
                <w:rFonts w:ascii="Verdana" w:hAnsi="Verdana"/>
                <w:color w:val="666699"/>
                <w:sz w:val="17"/>
                <w:szCs w:val="17"/>
                <w:shd w:val="clear" w:color="auto" w:fill="FFFFCC"/>
              </w:rPr>
              <w:t>K-5: MacMilian/McGraw-Hill, 2007</w:t>
            </w:r>
          </w:p>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Prentice Hall,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jc w:val="center"/>
            </w:pPr>
            <w:r>
              <w:rPr>
                <w:rFonts w:ascii="Verdana" w:hAnsi="Verdana"/>
                <w:color w:val="666699"/>
                <w:sz w:val="17"/>
                <w:szCs w:val="17"/>
                <w:shd w:val="clear" w:color="auto" w:fill="FFFFCC"/>
              </w:rPr>
              <w:t>K-5: Harcourt Brace, 2006</w:t>
            </w:r>
          </w:p>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Glencoe, 2006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bl>
    <w:p w:rsidR="00526EF9" w:rsidRDefault="00526EF9">
      <w:pPr>
        <w:divId w:val="607086025"/>
        <w:rPr>
          <w:color w:val="555555"/>
        </w:rPr>
      </w:pPr>
      <w:r>
        <w:rPr>
          <w:color w:val="555555"/>
        </w:rPr>
        <w:br/>
      </w:r>
      <w:r>
        <w:rPr>
          <w:color w:val="555555"/>
        </w:rPr>
        <w:br/>
      </w:r>
    </w:p>
    <w:p w:rsidR="00B90301" w:rsidRDefault="00B90301">
      <w:pPr>
        <w:divId w:val="607086025"/>
        <w:rPr>
          <w:color w:val="555555"/>
        </w:rPr>
      </w:pPr>
    </w:p>
    <w:p w:rsidR="00B90301" w:rsidRDefault="00B90301">
      <w:pPr>
        <w:divId w:val="607086025"/>
        <w:rPr>
          <w:color w:val="555555"/>
        </w:rPr>
      </w:pPr>
    </w:p>
    <w:p w:rsidR="00B90301" w:rsidRDefault="00B90301">
      <w:pPr>
        <w:divId w:val="607086025"/>
        <w:rPr>
          <w:color w:val="555555"/>
        </w:rPr>
      </w:pPr>
    </w:p>
    <w:p w:rsidR="00B90301" w:rsidRDefault="00B90301">
      <w:pPr>
        <w:divId w:val="607086025"/>
        <w:rPr>
          <w:color w:val="555555"/>
        </w:rPr>
      </w:pPr>
    </w:p>
    <w:p w:rsidR="00B90301" w:rsidRDefault="00B90301">
      <w:pPr>
        <w:divId w:val="607086025"/>
        <w:rPr>
          <w:color w:val="555555"/>
        </w:rPr>
      </w:pPr>
    </w:p>
    <w:p w:rsidR="00B90301" w:rsidRDefault="00B90301">
      <w:pPr>
        <w:divId w:val="607086025"/>
        <w:rPr>
          <w:color w:val="555555"/>
        </w:rPr>
      </w:pPr>
    </w:p>
    <w:p w:rsidR="00B90301" w:rsidRDefault="00B90301">
      <w:pPr>
        <w:divId w:val="607086025"/>
        <w:rPr>
          <w:color w:val="555555"/>
        </w:rPr>
      </w:pPr>
    </w:p>
    <w:p w:rsidR="00B90301" w:rsidRDefault="00B90301">
      <w:pPr>
        <w:divId w:val="607086025"/>
        <w:rPr>
          <w:color w:val="555555"/>
        </w:rPr>
      </w:pPr>
    </w:p>
    <w:p w:rsidR="00B90301" w:rsidRDefault="00B90301">
      <w:pPr>
        <w:divId w:val="607086025"/>
        <w:rPr>
          <w:color w:val="555555"/>
        </w:rPr>
      </w:pPr>
    </w:p>
    <w:p w:rsidR="00B90301" w:rsidRDefault="00B90301">
      <w:pPr>
        <w:divId w:val="607086025"/>
        <w:rPr>
          <w:color w:val="555555"/>
        </w:rPr>
      </w:pPr>
    </w:p>
    <w:p w:rsidR="00B90301" w:rsidRDefault="00B90301">
      <w:pPr>
        <w:divId w:val="607086025"/>
        <w:rPr>
          <w:color w:val="555555"/>
        </w:rPr>
      </w:pPr>
    </w:p>
    <w:p w:rsidR="00526EF9" w:rsidRDefault="00526EF9">
      <w:pPr>
        <w:pStyle w:val="Heading2"/>
        <w:divId w:val="607086025"/>
      </w:pPr>
      <w:r>
        <w:rPr>
          <w:color w:val="000000"/>
          <w:sz w:val="32"/>
          <w:szCs w:val="32"/>
        </w:rPr>
        <w:lastRenderedPageBreak/>
        <w:t>VIII. School Finances</w:t>
      </w:r>
    </w:p>
    <w:p w:rsidR="00526EF9" w:rsidRDefault="00526EF9">
      <w:pPr>
        <w:pStyle w:val="Heading4"/>
        <w:divId w:val="607086025"/>
      </w:pPr>
      <w:r>
        <w:rPr>
          <w:color w:val="000000"/>
          <w:sz w:val="23"/>
          <w:szCs w:val="23"/>
        </w:rPr>
        <w:t xml:space="preserve">Expenditures </w:t>
      </w:r>
      <w:proofErr w:type="gramStart"/>
      <w:r>
        <w:rPr>
          <w:color w:val="000000"/>
          <w:sz w:val="23"/>
          <w:szCs w:val="23"/>
        </w:rPr>
        <w:t>Per</w:t>
      </w:r>
      <w:proofErr w:type="gramEnd"/>
      <w:r>
        <w:rPr>
          <w:color w:val="000000"/>
          <w:sz w:val="23"/>
          <w:szCs w:val="23"/>
        </w:rPr>
        <w:t xml:space="preserve"> Pupil and School Site Teacher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14"/>
        <w:gridCol w:w="1990"/>
        <w:gridCol w:w="2801"/>
        <w:gridCol w:w="2518"/>
        <w:gridCol w:w="1497"/>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Total Expenditures Per Pupil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(Supplemental / 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(Basic / Unrestricted)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Teacher Salary</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$6,429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$1,474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$4,955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$70,061</w:t>
            </w:r>
          </w:p>
        </w:tc>
      </w:tr>
      <w:tr w:rsidR="00526EF9">
        <w:trPr>
          <w:divId w:val="607086025"/>
          <w:trHeight w:val="30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ind w:left="20" w:right="20"/>
              <w:jc w:val="center"/>
            </w:pPr>
            <w:r>
              <w:rPr>
                <w:rFonts w:ascii="Verdana" w:hAnsi="Verdana"/>
                <w:color w:val="666699"/>
                <w:sz w:val="17"/>
                <w:szCs w:val="17"/>
                <w:shd w:val="clear" w:color="auto" w:fill="FFFFCC"/>
              </w:rPr>
              <w:t>$5,259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ind w:left="20" w:right="20"/>
              <w:jc w:val="center"/>
            </w:pPr>
            <w:r>
              <w:rPr>
                <w:rFonts w:ascii="Verdana" w:hAnsi="Verdana"/>
                <w:color w:val="666699"/>
                <w:sz w:val="17"/>
                <w:szCs w:val="17"/>
                <w:shd w:val="clear" w:color="auto" w:fill="FFFFCC"/>
              </w:rPr>
              <w:t>$70,053</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0.01%</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$67,667</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-9.17%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3.54%</w:t>
            </w:r>
          </w:p>
        </w:tc>
      </w:tr>
    </w:tbl>
    <w:p w:rsidR="00526EF9" w:rsidRDefault="00526EF9">
      <w:pPr>
        <w:divId w:val="607086025"/>
        <w:rPr>
          <w:color w:val="555555"/>
        </w:rPr>
      </w:pPr>
      <w:r>
        <w:rPr>
          <w:color w:val="555555"/>
        </w:rPr>
        <w:br/>
      </w:r>
      <w:r>
        <w:rPr>
          <w:rFonts w:ascii="Verdana" w:hAnsi="Verdana"/>
          <w:color w:val="555555"/>
          <w:sz w:val="17"/>
          <w:szCs w:val="17"/>
        </w:rPr>
        <w:t>Note: Cells shaded in black do not require data.</w:t>
      </w:r>
      <w:r>
        <w:rPr>
          <w:color w:val="555555"/>
        </w:rPr>
        <w:br/>
      </w:r>
      <w:r>
        <w:rPr>
          <w:color w:val="555555"/>
        </w:rPr>
        <w:br/>
      </w:r>
      <w:r>
        <w:rPr>
          <w:rFonts w:ascii="Verdana" w:hAnsi="Verdana"/>
          <w:b/>
          <w:bCs/>
          <w:i/>
          <w:iCs/>
          <w:color w:val="555555"/>
          <w:sz w:val="17"/>
          <w:szCs w:val="17"/>
        </w:rPr>
        <w:t>Supplemental/Restricted</w:t>
      </w:r>
      <w:r>
        <w:rPr>
          <w:rFonts w:ascii="Verdana" w:hAnsi="Verdana"/>
          <w:color w:val="555555"/>
          <w:sz w:val="17"/>
          <w:szCs w:val="17"/>
        </w:rPr>
        <w:t xml:space="preserve"> expenditures come from money whose use is controlled by law or by a donor. Money that is designated for specific purposes by the district or governing board is not considered restricted. </w:t>
      </w:r>
      <w:r>
        <w:rPr>
          <w:b/>
          <w:bCs/>
          <w:i/>
          <w:iCs/>
          <w:color w:val="555555"/>
        </w:rPr>
        <w:t>Basic/unrestricted</w:t>
      </w:r>
      <w:r>
        <w:rPr>
          <w:color w:val="555555"/>
        </w:rPr>
        <w:t xml:space="preserve"> expenditures are from money whose use, except for general guidelines, is not controlled by law or by a donor.</w:t>
      </w:r>
      <w:r>
        <w:rPr>
          <w:color w:val="555555"/>
        </w:rPr>
        <w:br/>
      </w:r>
      <w:r>
        <w:rPr>
          <w:color w:val="555555"/>
        </w:rPr>
        <w:br/>
        <w:t xml:space="preserve">For detailed information on school expenditures for all districts in California, see the </w:t>
      </w:r>
      <w:r>
        <w:rPr>
          <w:i/>
          <w:iCs/>
          <w:color w:val="555555"/>
        </w:rPr>
        <w:t>CDE Current Expense of Education &amp; Per-pupil Spending</w:t>
      </w:r>
      <w:r>
        <w:rPr>
          <w:color w:val="555555"/>
        </w:rPr>
        <w:t xml:space="preserve"> Web page at</w:t>
      </w:r>
      <w:hyperlink r:id="rId8" w:history="1">
        <w:r>
          <w:rPr>
            <w:rStyle w:val="Hyperlink"/>
            <w:rFonts w:ascii="Arial" w:hAnsi="Arial" w:cs="Arial"/>
            <w:color w:val="000000"/>
            <w:sz w:val="23"/>
            <w:szCs w:val="23"/>
          </w:rPr>
          <w:t xml:space="preserve"> http://www.cde.ca.gov/ds/fd/ec/</w:t>
        </w:r>
      </w:hyperlink>
      <w:r>
        <w:rPr>
          <w:rFonts w:ascii="Arial" w:hAnsi="Arial" w:cs="Arial"/>
          <w:color w:val="000000"/>
          <w:sz w:val="23"/>
          <w:szCs w:val="23"/>
        </w:rPr>
        <w:t xml:space="preserve">. For information on teacher salaries for all districts in California, see the CDE </w:t>
      </w:r>
      <w:r>
        <w:rPr>
          <w:rFonts w:ascii="Arial" w:hAnsi="Arial" w:cs="Arial"/>
          <w:i/>
          <w:iCs/>
          <w:color w:val="000000"/>
          <w:sz w:val="23"/>
          <w:szCs w:val="23"/>
        </w:rPr>
        <w:t>Certificated Salaries &amp; Benefits</w:t>
      </w:r>
      <w:r>
        <w:rPr>
          <w:rFonts w:ascii="Arial" w:hAnsi="Arial" w:cs="Arial"/>
          <w:color w:val="000000"/>
          <w:sz w:val="23"/>
          <w:szCs w:val="23"/>
        </w:rPr>
        <w:t xml:space="preserve"> Web page at</w:t>
      </w:r>
      <w:hyperlink r:id="rId9" w:history="1">
        <w:r>
          <w:rPr>
            <w:rStyle w:val="Hyperlink"/>
            <w:rFonts w:ascii="Arial" w:hAnsi="Arial" w:cs="Arial"/>
            <w:color w:val="000000"/>
            <w:sz w:val="23"/>
            <w:szCs w:val="23"/>
          </w:rPr>
          <w:t xml:space="preserve"> http://www.cde.ca.gov/ds/fd/cs/</w:t>
        </w:r>
      </w:hyperlink>
      <w:r>
        <w:rPr>
          <w:rFonts w:ascii="Arial" w:hAnsi="Arial" w:cs="Arial"/>
          <w:color w:val="000000"/>
          <w:sz w:val="23"/>
          <w:szCs w:val="23"/>
        </w:rPr>
        <w:t>. To look up expenditures and salaries for a specific school district, see the Ed-Data Web site at:</w:t>
      </w:r>
      <w:hyperlink r:id="rId10" w:history="1">
        <w:r>
          <w:rPr>
            <w:rStyle w:val="Hyperlink"/>
            <w:rFonts w:ascii="Arial" w:hAnsi="Arial" w:cs="Arial"/>
            <w:color w:val="000000"/>
            <w:sz w:val="23"/>
            <w:szCs w:val="23"/>
          </w:rPr>
          <w:t xml:space="preserve"> http://www.ed-data.org</w:t>
        </w:r>
      </w:hyperlink>
      <w:r>
        <w:rPr>
          <w:rFonts w:ascii="Arial" w:hAnsi="Arial" w:cs="Arial"/>
          <w:color w:val="000000"/>
          <w:sz w:val="23"/>
          <w:szCs w:val="23"/>
        </w:rPr>
        <w:t>.</w:t>
      </w:r>
    </w:p>
    <w:p w:rsidR="00526EF9" w:rsidRDefault="00526EF9">
      <w:pPr>
        <w:pStyle w:val="Heading4"/>
        <w:divId w:val="607086025"/>
      </w:pPr>
      <w:r>
        <w:rPr>
          <w:color w:val="000000"/>
          <w:sz w:val="23"/>
          <w:szCs w:val="23"/>
        </w:rPr>
        <w:t>Types of Services Funded (Fiscal Year 2010–11)</w:t>
      </w:r>
    </w:p>
    <w:tbl>
      <w:tblPr>
        <w:tblW w:w="0" w:type="auto"/>
        <w:tblLook w:val="04A0"/>
      </w:tblPr>
      <w:tblGrid>
        <w:gridCol w:w="10770"/>
      </w:tblGrid>
      <w:tr w:rsidR="00526EF9">
        <w:trPr>
          <w:divId w:val="607086025"/>
        </w:trPr>
        <w:tc>
          <w:tcPr>
            <w:tcW w:w="10770" w:type="dxa"/>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526EF9" w:rsidRDefault="00526EF9">
            <w:pPr>
              <w:spacing w:before="100" w:beforeAutospacing="1" w:after="100" w:afterAutospacing="1"/>
              <w:rPr>
                <w:rFonts w:ascii="Arial" w:hAnsi="Arial" w:cs="Arial"/>
                <w:color w:val="000000"/>
                <w:sz w:val="18"/>
                <w:szCs w:val="18"/>
              </w:rPr>
            </w:pPr>
            <w:r>
              <w:rPr>
                <w:rFonts w:ascii="Arial" w:hAnsi="Arial" w:cs="Arial"/>
                <w:color w:val="000000"/>
                <w:sz w:val="18"/>
                <w:szCs w:val="18"/>
              </w:rPr>
              <w:t>This section provides information about the programs and supplemental services that are available at the school and funded through either categorical or other sources. </w:t>
            </w:r>
          </w:p>
          <w:p w:rsidR="00526EF9" w:rsidRDefault="00526EF9">
            <w:pPr>
              <w:rPr>
                <w:rFonts w:ascii="Arial" w:hAnsi="Arial" w:cs="Arial"/>
                <w:color w:val="000000"/>
                <w:sz w:val="18"/>
                <w:szCs w:val="18"/>
              </w:rPr>
            </w:pPr>
            <w:r w:rsidRPr="00A73F70">
              <w:rPr>
                <w:rFonts w:ascii="Arial" w:hAnsi="Arial" w:cs="Arial"/>
                <w:color w:val="000000"/>
                <w:sz w:val="18"/>
                <w:szCs w:val="18"/>
              </w:rPr>
              <w:t>In addition to general State funding, Alhambra Unified School District receives State and Federal categorical funding for special programs.  For the 2010-11 school year, the District received approximately $1,688 per student in Federal or State aid for the following categorical, special education, and support programs:</w:t>
            </w:r>
          </w:p>
          <w:p w:rsidR="00526EF9" w:rsidRPr="00A73F70" w:rsidRDefault="00526EF9">
            <w:pPr>
              <w:numPr>
                <w:ilvl w:val="0"/>
                <w:numId w:val="2"/>
              </w:numPr>
              <w:rPr>
                <w:rFonts w:ascii="Arial" w:hAnsi="Arial" w:cs="Arial"/>
                <w:color w:val="000000"/>
                <w:sz w:val="18"/>
                <w:szCs w:val="18"/>
              </w:rPr>
            </w:pPr>
            <w:r w:rsidRPr="00A73F70">
              <w:rPr>
                <w:rFonts w:ascii="Arial" w:hAnsi="Arial" w:cs="Arial"/>
                <w:color w:val="000000"/>
                <w:sz w:val="18"/>
                <w:szCs w:val="18"/>
              </w:rPr>
              <w:t>Title I</w:t>
            </w:r>
          </w:p>
          <w:p w:rsidR="00526EF9" w:rsidRPr="00A73F70" w:rsidRDefault="00526EF9">
            <w:pPr>
              <w:numPr>
                <w:ilvl w:val="0"/>
                <w:numId w:val="2"/>
              </w:numPr>
              <w:rPr>
                <w:rFonts w:ascii="Arial" w:hAnsi="Arial" w:cs="Arial"/>
                <w:color w:val="000000"/>
                <w:sz w:val="18"/>
                <w:szCs w:val="18"/>
              </w:rPr>
            </w:pPr>
            <w:r w:rsidRPr="00A73F70">
              <w:rPr>
                <w:rFonts w:ascii="Arial" w:hAnsi="Arial" w:cs="Arial"/>
                <w:color w:val="000000"/>
                <w:sz w:val="18"/>
                <w:szCs w:val="18"/>
              </w:rPr>
              <w:t>Title II</w:t>
            </w:r>
            <w:r w:rsidRPr="00A73F70">
              <w:rPr>
                <w:rFonts w:ascii="Arial" w:hAnsi="Arial" w:cs="Arial"/>
                <w:color w:val="000000"/>
                <w:sz w:val="18"/>
                <w:szCs w:val="18"/>
              </w:rPr>
              <w:tab/>
            </w:r>
          </w:p>
          <w:p w:rsidR="00526EF9" w:rsidRPr="00A73F70" w:rsidRDefault="00526EF9">
            <w:pPr>
              <w:numPr>
                <w:ilvl w:val="0"/>
                <w:numId w:val="2"/>
              </w:numPr>
              <w:rPr>
                <w:rFonts w:ascii="Arial" w:hAnsi="Arial" w:cs="Arial"/>
                <w:color w:val="000000"/>
                <w:sz w:val="18"/>
                <w:szCs w:val="18"/>
              </w:rPr>
            </w:pPr>
            <w:r w:rsidRPr="00A73F70">
              <w:rPr>
                <w:rFonts w:ascii="Arial" w:hAnsi="Arial" w:cs="Arial"/>
                <w:color w:val="000000"/>
                <w:sz w:val="18"/>
                <w:szCs w:val="18"/>
              </w:rPr>
              <w:t>Title III</w:t>
            </w:r>
          </w:p>
          <w:p w:rsidR="00526EF9" w:rsidRPr="00A73F70" w:rsidRDefault="00526EF9">
            <w:pPr>
              <w:numPr>
                <w:ilvl w:val="0"/>
                <w:numId w:val="2"/>
              </w:numPr>
              <w:rPr>
                <w:rFonts w:ascii="Arial" w:hAnsi="Arial" w:cs="Arial"/>
                <w:color w:val="000000"/>
                <w:sz w:val="18"/>
                <w:szCs w:val="18"/>
              </w:rPr>
            </w:pPr>
            <w:r w:rsidRPr="00A73F70">
              <w:rPr>
                <w:rFonts w:ascii="Arial" w:hAnsi="Arial" w:cs="Arial"/>
                <w:color w:val="000000"/>
                <w:sz w:val="18"/>
                <w:szCs w:val="18"/>
              </w:rPr>
              <w:t>Title IV</w:t>
            </w:r>
          </w:p>
          <w:p w:rsidR="00526EF9" w:rsidRPr="00A73F70" w:rsidRDefault="00526EF9">
            <w:pPr>
              <w:numPr>
                <w:ilvl w:val="0"/>
                <w:numId w:val="2"/>
              </w:numPr>
              <w:rPr>
                <w:rFonts w:ascii="Arial" w:hAnsi="Arial" w:cs="Arial"/>
                <w:color w:val="000000"/>
                <w:sz w:val="18"/>
                <w:szCs w:val="18"/>
              </w:rPr>
            </w:pPr>
            <w:r w:rsidRPr="00A73F70">
              <w:rPr>
                <w:rFonts w:ascii="Arial" w:hAnsi="Arial" w:cs="Arial"/>
                <w:color w:val="000000"/>
                <w:sz w:val="18"/>
                <w:szCs w:val="18"/>
              </w:rPr>
              <w:t>WIA</w:t>
            </w:r>
          </w:p>
          <w:p w:rsidR="00526EF9" w:rsidRPr="00A73F70" w:rsidRDefault="00526EF9">
            <w:pPr>
              <w:numPr>
                <w:ilvl w:val="0"/>
                <w:numId w:val="2"/>
              </w:numPr>
              <w:rPr>
                <w:rFonts w:ascii="Arial" w:hAnsi="Arial" w:cs="Arial"/>
                <w:color w:val="000000"/>
                <w:sz w:val="18"/>
                <w:szCs w:val="18"/>
              </w:rPr>
            </w:pPr>
            <w:r w:rsidRPr="00A73F70">
              <w:rPr>
                <w:rFonts w:ascii="Arial" w:hAnsi="Arial" w:cs="Arial"/>
                <w:color w:val="000000"/>
                <w:sz w:val="18"/>
                <w:szCs w:val="18"/>
              </w:rPr>
              <w:t>Migrant Education</w:t>
            </w:r>
          </w:p>
          <w:p w:rsidR="00526EF9" w:rsidRPr="00A73F70" w:rsidRDefault="00526EF9">
            <w:pPr>
              <w:numPr>
                <w:ilvl w:val="0"/>
                <w:numId w:val="2"/>
              </w:numPr>
              <w:rPr>
                <w:rFonts w:ascii="Arial" w:hAnsi="Arial" w:cs="Arial"/>
                <w:color w:val="000000"/>
                <w:sz w:val="18"/>
                <w:szCs w:val="18"/>
              </w:rPr>
            </w:pPr>
            <w:r w:rsidRPr="00A73F70">
              <w:rPr>
                <w:rFonts w:ascii="Arial" w:hAnsi="Arial" w:cs="Arial"/>
                <w:color w:val="000000"/>
                <w:sz w:val="18"/>
                <w:szCs w:val="18"/>
              </w:rPr>
              <w:t>Lottery Instructional Materials</w:t>
            </w:r>
          </w:p>
          <w:p w:rsidR="00526EF9" w:rsidRPr="00A73F70" w:rsidRDefault="00526EF9">
            <w:pPr>
              <w:numPr>
                <w:ilvl w:val="0"/>
                <w:numId w:val="2"/>
              </w:numPr>
              <w:rPr>
                <w:rFonts w:ascii="Arial" w:hAnsi="Arial" w:cs="Arial"/>
                <w:color w:val="000000"/>
                <w:sz w:val="18"/>
                <w:szCs w:val="18"/>
              </w:rPr>
            </w:pPr>
            <w:r w:rsidRPr="00A73F70">
              <w:rPr>
                <w:rFonts w:ascii="Arial" w:hAnsi="Arial" w:cs="Arial"/>
                <w:color w:val="000000"/>
                <w:sz w:val="18"/>
                <w:szCs w:val="18"/>
              </w:rPr>
              <w:t>Special Education</w:t>
            </w:r>
          </w:p>
          <w:p w:rsidR="00526EF9" w:rsidRPr="00A73F70" w:rsidRDefault="00526EF9">
            <w:pPr>
              <w:numPr>
                <w:ilvl w:val="0"/>
                <w:numId w:val="2"/>
              </w:numPr>
              <w:rPr>
                <w:rFonts w:ascii="Arial" w:hAnsi="Arial" w:cs="Arial"/>
                <w:color w:val="000000"/>
                <w:sz w:val="18"/>
                <w:szCs w:val="18"/>
              </w:rPr>
            </w:pPr>
            <w:r w:rsidRPr="00A73F70">
              <w:rPr>
                <w:rFonts w:ascii="Arial" w:hAnsi="Arial" w:cs="Arial"/>
                <w:color w:val="000000"/>
                <w:sz w:val="18"/>
                <w:szCs w:val="18"/>
              </w:rPr>
              <w:t>EIA/SCE</w:t>
            </w:r>
          </w:p>
          <w:p w:rsidR="00526EF9" w:rsidRPr="00A73F70" w:rsidRDefault="00526EF9">
            <w:pPr>
              <w:numPr>
                <w:ilvl w:val="0"/>
                <w:numId w:val="2"/>
              </w:numPr>
              <w:rPr>
                <w:rFonts w:ascii="Arial" w:hAnsi="Arial" w:cs="Arial"/>
                <w:color w:val="000000"/>
                <w:sz w:val="18"/>
                <w:szCs w:val="18"/>
              </w:rPr>
            </w:pPr>
            <w:r w:rsidRPr="00A73F70">
              <w:rPr>
                <w:rFonts w:ascii="Arial" w:hAnsi="Arial" w:cs="Arial"/>
                <w:color w:val="000000"/>
                <w:sz w:val="18"/>
                <w:szCs w:val="18"/>
              </w:rPr>
              <w:t>EIA/LEP</w:t>
            </w:r>
          </w:p>
          <w:p w:rsidR="00526EF9" w:rsidRDefault="00526EF9">
            <w:pPr>
              <w:numPr>
                <w:ilvl w:val="0"/>
                <w:numId w:val="2"/>
              </w:numPr>
              <w:rPr>
                <w:rFonts w:ascii="Arial" w:hAnsi="Arial" w:cs="Arial"/>
                <w:color w:val="000000"/>
                <w:sz w:val="18"/>
                <w:szCs w:val="18"/>
              </w:rPr>
            </w:pPr>
            <w:r w:rsidRPr="00A73F70">
              <w:rPr>
                <w:rFonts w:ascii="Arial" w:hAnsi="Arial" w:cs="Arial"/>
                <w:color w:val="000000"/>
                <w:sz w:val="18"/>
                <w:szCs w:val="18"/>
              </w:rPr>
              <w:t>VAPA</w:t>
            </w:r>
          </w:p>
        </w:tc>
      </w:tr>
    </w:tbl>
    <w:p w:rsidR="00526EF9" w:rsidRDefault="00526EF9">
      <w:pPr>
        <w:divId w:val="607086025"/>
        <w:rPr>
          <w:color w:val="555555"/>
        </w:rPr>
      </w:pPr>
    </w:p>
    <w:p w:rsidR="00B90301" w:rsidRDefault="00B90301">
      <w:pPr>
        <w:pStyle w:val="Heading4"/>
        <w:divId w:val="607086025"/>
        <w:rPr>
          <w:color w:val="000000"/>
          <w:sz w:val="23"/>
          <w:szCs w:val="23"/>
        </w:rPr>
      </w:pPr>
    </w:p>
    <w:p w:rsidR="00B90301" w:rsidRDefault="00B90301">
      <w:pPr>
        <w:pStyle w:val="Heading4"/>
        <w:divId w:val="607086025"/>
        <w:rPr>
          <w:color w:val="000000"/>
          <w:sz w:val="23"/>
          <w:szCs w:val="23"/>
        </w:rPr>
      </w:pPr>
    </w:p>
    <w:p w:rsidR="00B90301" w:rsidRDefault="00B90301">
      <w:pPr>
        <w:pStyle w:val="Heading4"/>
        <w:divId w:val="607086025"/>
        <w:rPr>
          <w:color w:val="000000"/>
          <w:sz w:val="23"/>
          <w:szCs w:val="23"/>
        </w:rPr>
      </w:pPr>
    </w:p>
    <w:p w:rsidR="00526EF9" w:rsidRDefault="00526EF9">
      <w:pPr>
        <w:pStyle w:val="Heading4"/>
        <w:divId w:val="607086025"/>
      </w:pPr>
      <w:r>
        <w:rPr>
          <w:color w:val="000000"/>
          <w:sz w:val="23"/>
          <w:szCs w:val="23"/>
        </w:rPr>
        <w:lastRenderedPageBreak/>
        <w:t>Teacher and Administrative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26"/>
        <w:gridCol w:w="1775"/>
        <w:gridCol w:w="4719"/>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Category</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Amount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State Average For Districts In Same Category</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Beginning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$35,430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$41,035</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Mid-Range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$66,490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$65,412</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Highest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$97,260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$84,837</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$123,067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$106,217</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(Middle)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$111,763</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$138,132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$121,538</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$207,289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$197,275</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Teacher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39.00%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Administrative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r>
    </w:tbl>
    <w:p w:rsidR="00526EF9" w:rsidRDefault="00526EF9">
      <w:pPr>
        <w:divId w:val="607086025"/>
        <w:rPr>
          <w:color w:val="555555"/>
        </w:rPr>
      </w:pPr>
      <w:r>
        <w:rPr>
          <w:rFonts w:ascii="Verdana" w:hAnsi="Verdana"/>
          <w:color w:val="555555"/>
          <w:sz w:val="17"/>
          <w:szCs w:val="17"/>
        </w:rPr>
        <w:t>Note: For detailed information on salaries, see the CDE Certificated Salaries &amp; Benefits Web page at</w:t>
      </w:r>
      <w:hyperlink r:id="rId11" w:history="1">
        <w:r>
          <w:rPr>
            <w:rStyle w:val="Hyperlink"/>
            <w:rFonts w:ascii="Verdana" w:hAnsi="Verdana"/>
            <w:color w:val="555555"/>
            <w:sz w:val="17"/>
            <w:szCs w:val="17"/>
          </w:rPr>
          <w:t xml:space="preserve"> http://www.cde.ca.gov/ds/fd/cs/</w:t>
        </w:r>
      </w:hyperlink>
      <w:r>
        <w:rPr>
          <w:rFonts w:ascii="Verdana" w:hAnsi="Verdana"/>
          <w:color w:val="555555"/>
          <w:sz w:val="17"/>
          <w:szCs w:val="17"/>
        </w:rPr>
        <w:t>.</w:t>
      </w:r>
    </w:p>
    <w:p w:rsidR="00B90301" w:rsidRDefault="00B90301">
      <w:pPr>
        <w:pStyle w:val="Heading2"/>
        <w:divId w:val="607086025"/>
        <w:rPr>
          <w:color w:val="000000"/>
          <w:sz w:val="32"/>
          <w:szCs w:val="32"/>
        </w:rPr>
      </w:pPr>
    </w:p>
    <w:p w:rsidR="00526EF9" w:rsidRDefault="00526EF9">
      <w:pPr>
        <w:pStyle w:val="Heading2"/>
        <w:divId w:val="607086025"/>
      </w:pPr>
      <w:r>
        <w:rPr>
          <w:color w:val="000000"/>
          <w:sz w:val="32"/>
          <w:szCs w:val="32"/>
        </w:rPr>
        <w:t>IX. Student Performance</w:t>
      </w:r>
    </w:p>
    <w:p w:rsidR="00526EF9" w:rsidRDefault="00526EF9">
      <w:pPr>
        <w:pStyle w:val="Heading4"/>
        <w:divId w:val="607086025"/>
      </w:pPr>
      <w:r>
        <w:rPr>
          <w:color w:val="000000"/>
          <w:sz w:val="23"/>
          <w:szCs w:val="23"/>
        </w:rPr>
        <w:t>Standardized Testing and Reporting Program</w:t>
      </w:r>
    </w:p>
    <w:p w:rsidR="00526EF9" w:rsidRDefault="00526EF9">
      <w:pPr>
        <w:divId w:val="607086025"/>
        <w:rPr>
          <w:color w:val="555555"/>
        </w:rPr>
      </w:pPr>
      <w:r>
        <w:rPr>
          <w:rFonts w:ascii="Verdana" w:hAnsi="Verdana"/>
          <w:color w:val="555555"/>
          <w:sz w:val="17"/>
          <w:szCs w:val="17"/>
        </w:rPr>
        <w:t>The Standardized Testing and Reporting (STAR) Program consists of several key components, including:</w:t>
      </w:r>
    </w:p>
    <w:p w:rsidR="00526EF9" w:rsidRDefault="00526EF9">
      <w:pPr>
        <w:numPr>
          <w:ilvl w:val="0"/>
          <w:numId w:val="3"/>
        </w:numPr>
        <w:spacing w:before="100" w:beforeAutospacing="1" w:after="100" w:afterAutospacing="1"/>
        <w:textAlignment w:val="baseline"/>
        <w:divId w:val="607086025"/>
        <w:rPr>
          <w:rFonts w:ascii="Arial" w:hAnsi="Arial" w:cs="Arial"/>
          <w:color w:val="000000"/>
          <w:sz w:val="23"/>
          <w:szCs w:val="23"/>
        </w:rPr>
      </w:pPr>
      <w:r>
        <w:rPr>
          <w:rFonts w:ascii="Verdana" w:hAnsi="Verdana" w:cs="Arial"/>
          <w:b/>
          <w:bCs/>
          <w:color w:val="555555"/>
          <w:sz w:val="17"/>
          <w:szCs w:val="17"/>
        </w:rPr>
        <w:t>California Standards Tests (CSTs)</w:t>
      </w:r>
      <w:r>
        <w:rPr>
          <w:rFonts w:ascii="Verdana" w:hAnsi="Verdana" w:cs="Arial"/>
          <w:color w:val="555555"/>
          <w:sz w:val="17"/>
          <w:szCs w:val="17"/>
        </w:rPr>
        <w:t>, which include English-language arts (ELA) and mathematics in grades two through eleven; science in grades five, eight, and nine through eleven; and history-social science in grades eight, and nine through eleven.</w:t>
      </w:r>
    </w:p>
    <w:p w:rsidR="00526EF9" w:rsidRDefault="00526EF9">
      <w:pPr>
        <w:numPr>
          <w:ilvl w:val="0"/>
          <w:numId w:val="3"/>
        </w:numPr>
        <w:spacing w:before="100" w:beforeAutospacing="1" w:after="100" w:afterAutospacing="1"/>
        <w:textAlignment w:val="baseline"/>
        <w:divId w:val="607086025"/>
        <w:rPr>
          <w:rFonts w:ascii="Arial" w:hAnsi="Arial" w:cs="Arial"/>
          <w:color w:val="000000"/>
          <w:sz w:val="23"/>
          <w:szCs w:val="23"/>
        </w:rPr>
      </w:pPr>
      <w:r>
        <w:rPr>
          <w:rFonts w:ascii="Verdana" w:hAnsi="Verdana" w:cs="Arial"/>
          <w:b/>
          <w:bCs/>
          <w:color w:val="555555"/>
          <w:sz w:val="17"/>
          <w:szCs w:val="17"/>
        </w:rPr>
        <w:t>California Modified Assessment (CMA)</w:t>
      </w:r>
      <w:r>
        <w:rPr>
          <w:rFonts w:ascii="Verdana" w:hAnsi="Verdana" w:cs="Arial"/>
          <w:color w:val="555555"/>
          <w:sz w:val="17"/>
          <w:szCs w:val="17"/>
        </w:rPr>
        <w:t>, an alternate assessment that is based on modified achievement standards in ELA for grades three through eleven; mathematics for grades three through seven, Algebra I, and Geometry; and science in grades five and eight, and Life Science in grade ten. The CMA is designed to assess those students whose disabilities preclude them from achieving grade-level proficiency on an assessment of the California content standards with or without accommodations.</w:t>
      </w:r>
    </w:p>
    <w:p w:rsidR="00526EF9" w:rsidRPr="00B90301" w:rsidRDefault="00526EF9" w:rsidP="00B90301">
      <w:pPr>
        <w:numPr>
          <w:ilvl w:val="0"/>
          <w:numId w:val="3"/>
        </w:numPr>
        <w:spacing w:before="100" w:beforeAutospacing="1" w:after="100" w:afterAutospacing="1"/>
        <w:textAlignment w:val="baseline"/>
        <w:divId w:val="607086025"/>
        <w:rPr>
          <w:rFonts w:ascii="Arial" w:hAnsi="Arial" w:cs="Arial"/>
          <w:color w:val="000000"/>
          <w:sz w:val="23"/>
          <w:szCs w:val="23"/>
        </w:rPr>
      </w:pPr>
      <w:r>
        <w:rPr>
          <w:rFonts w:ascii="Verdana" w:hAnsi="Verdana" w:cs="Arial"/>
          <w:b/>
          <w:bCs/>
          <w:color w:val="555555"/>
          <w:sz w:val="17"/>
          <w:szCs w:val="17"/>
        </w:rPr>
        <w:t>California Alternate Performance Assessment (CAPA</w:t>
      </w:r>
      <w:proofErr w:type="gramStart"/>
      <w:r>
        <w:rPr>
          <w:rFonts w:ascii="Verdana" w:hAnsi="Verdana" w:cs="Arial"/>
          <w:b/>
          <w:bCs/>
          <w:color w:val="555555"/>
          <w:sz w:val="17"/>
          <w:szCs w:val="17"/>
        </w:rPr>
        <w:t>)</w:t>
      </w:r>
      <w:r>
        <w:rPr>
          <w:rFonts w:ascii="Verdana" w:hAnsi="Verdana" w:cs="Arial"/>
          <w:color w:val="555555"/>
          <w:sz w:val="17"/>
          <w:szCs w:val="17"/>
        </w:rPr>
        <w:t>,</w:t>
      </w:r>
      <w:proofErr w:type="gramEnd"/>
      <w:r>
        <w:rPr>
          <w:rFonts w:ascii="Verdana" w:hAnsi="Verdana" w:cs="Arial"/>
          <w:color w:val="555555"/>
          <w:sz w:val="17"/>
          <w:szCs w:val="17"/>
        </w:rPr>
        <w:t xml:space="preserve"> includes ELA and mathematics in grades two through eleven, and science for grades five, eight, and ten. The CAPA is given to those students with significant cognitive disabilities whose disabilities prevent them from taking either the CSTs with accommodations or modifications or the CMA with accommodations.</w:t>
      </w:r>
      <w:r w:rsidRPr="00B90301">
        <w:rPr>
          <w:color w:val="555555"/>
        </w:rPr>
        <w:br/>
      </w:r>
      <w:r w:rsidRPr="00B90301">
        <w:rPr>
          <w:color w:val="555555"/>
        </w:rPr>
        <w:br/>
      </w:r>
      <w:r w:rsidRPr="00B90301">
        <w:rPr>
          <w:rFonts w:ascii="Verdana" w:hAnsi="Verdana"/>
          <w:color w:val="555555"/>
          <w:sz w:val="17"/>
          <w:szCs w:val="17"/>
        </w:rPr>
        <w:t>The assessments under the STAR Program show how well students are doing in relation to the state content standards. On each of these assessments, student scores are reported as performance levels.</w:t>
      </w:r>
      <w:r w:rsidRPr="00B90301">
        <w:rPr>
          <w:color w:val="555555"/>
        </w:rPr>
        <w:br/>
      </w:r>
      <w:r w:rsidRPr="00B90301">
        <w:rPr>
          <w:color w:val="555555"/>
        </w:rPr>
        <w:br/>
      </w:r>
      <w:r w:rsidRPr="00B90301">
        <w:rPr>
          <w:rFonts w:ascii="Verdana" w:hAnsi="Verdana"/>
          <w:color w:val="555555"/>
          <w:sz w:val="17"/>
          <w:szCs w:val="17"/>
        </w:rPr>
        <w:t>For detailed information regarding the STAR Program results for each grade and performance level, including the percent of students not tested, see the CDE STAR Results Web site at</w:t>
      </w:r>
      <w:hyperlink r:id="rId12" w:history="1">
        <w:r w:rsidRPr="00B90301">
          <w:rPr>
            <w:rStyle w:val="Hyperlink"/>
            <w:rFonts w:ascii="Verdana" w:hAnsi="Verdana"/>
            <w:color w:val="555555"/>
            <w:sz w:val="17"/>
            <w:szCs w:val="17"/>
          </w:rPr>
          <w:t xml:space="preserve"> http://star.cde.ca.gov</w:t>
        </w:r>
      </w:hyperlink>
      <w:r w:rsidRPr="00B90301">
        <w:rPr>
          <w:rFonts w:ascii="Verdana" w:hAnsi="Verdana"/>
          <w:color w:val="555555"/>
          <w:sz w:val="17"/>
          <w:szCs w:val="17"/>
        </w:rPr>
        <w:t>.</w:t>
      </w:r>
    </w:p>
    <w:p w:rsidR="00B90301" w:rsidRDefault="00B90301">
      <w:pPr>
        <w:pStyle w:val="Heading4"/>
        <w:divId w:val="607086025"/>
        <w:rPr>
          <w:color w:val="000000"/>
          <w:sz w:val="23"/>
          <w:szCs w:val="23"/>
        </w:rPr>
      </w:pPr>
    </w:p>
    <w:p w:rsidR="00B90301" w:rsidRDefault="00B90301">
      <w:pPr>
        <w:pStyle w:val="Heading4"/>
        <w:divId w:val="607086025"/>
        <w:rPr>
          <w:color w:val="000000"/>
          <w:sz w:val="23"/>
          <w:szCs w:val="23"/>
        </w:rPr>
      </w:pPr>
    </w:p>
    <w:p w:rsidR="00B90301" w:rsidRDefault="00B90301">
      <w:pPr>
        <w:pStyle w:val="Heading4"/>
        <w:divId w:val="607086025"/>
        <w:rPr>
          <w:color w:val="000000"/>
          <w:sz w:val="23"/>
          <w:szCs w:val="23"/>
        </w:rPr>
      </w:pPr>
    </w:p>
    <w:p w:rsidR="00B90301" w:rsidRDefault="00B90301">
      <w:pPr>
        <w:pStyle w:val="Heading4"/>
        <w:divId w:val="607086025"/>
        <w:rPr>
          <w:color w:val="000000"/>
          <w:sz w:val="23"/>
          <w:szCs w:val="23"/>
        </w:rPr>
      </w:pPr>
    </w:p>
    <w:p w:rsidR="00B90301" w:rsidRDefault="00B90301">
      <w:pPr>
        <w:pStyle w:val="Heading4"/>
        <w:divId w:val="607086025"/>
        <w:rPr>
          <w:color w:val="000000"/>
          <w:sz w:val="23"/>
          <w:szCs w:val="23"/>
        </w:rPr>
      </w:pPr>
    </w:p>
    <w:p w:rsidR="00B90301" w:rsidRDefault="00B90301">
      <w:pPr>
        <w:pStyle w:val="Heading4"/>
        <w:divId w:val="607086025"/>
        <w:rPr>
          <w:color w:val="000000"/>
          <w:sz w:val="23"/>
          <w:szCs w:val="23"/>
        </w:rPr>
      </w:pPr>
    </w:p>
    <w:p w:rsidR="00526EF9" w:rsidRDefault="00526EF9">
      <w:pPr>
        <w:pStyle w:val="Heading4"/>
        <w:divId w:val="607086025"/>
      </w:pPr>
      <w:r>
        <w:rPr>
          <w:color w:val="000000"/>
          <w:sz w:val="23"/>
          <w:szCs w:val="23"/>
        </w:rPr>
        <w:lastRenderedPageBreak/>
        <w:t>Standardized Testing and Reporting Results for All Students – Three-Year Comparison</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1"/>
        <w:gridCol w:w="998"/>
        <w:gridCol w:w="997"/>
        <w:gridCol w:w="997"/>
        <w:gridCol w:w="997"/>
        <w:gridCol w:w="997"/>
        <w:gridCol w:w="997"/>
        <w:gridCol w:w="997"/>
        <w:gridCol w:w="997"/>
        <w:gridCol w:w="997"/>
      </w:tblGrid>
      <w:tr w:rsidR="00526EF9">
        <w:trPr>
          <w:divId w:val="60708602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rPr>
                <w:sz w:val="2"/>
              </w:rPr>
            </w:pPr>
            <w:r w:rsidRPr="00A73F70">
              <w:rPr>
                <w:rFonts w:ascii="Verdana" w:hAnsi="Verdana"/>
                <w:b/>
                <w:bCs/>
                <w:color w:val="FFFFFF"/>
                <w:sz w:val="18"/>
                <w:szCs w:val="18"/>
                <w:shd w:val="clear" w:color="auto" w:fill="1A4678"/>
              </w:rPr>
              <w:t>Percent of Students Scoring at Proficient or Advanced (meeting or exceeding the state standards)</w:t>
            </w:r>
          </w:p>
        </w:tc>
      </w:tr>
      <w:tr w:rsidR="00526EF9">
        <w:trPr>
          <w:divId w:val="6070860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6EF9" w:rsidRDefault="00526EF9"/>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rPr>
                <w:sz w:val="2"/>
              </w:rPr>
            </w:pPr>
            <w:r w:rsidRPr="00A73F70">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rPr>
                <w:sz w:val="2"/>
              </w:rPr>
            </w:pPr>
            <w:r w:rsidRPr="00A73F70">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rPr>
                <w:sz w:val="2"/>
              </w:rPr>
            </w:pPr>
            <w:r w:rsidRPr="00A73F70">
              <w:rPr>
                <w:rFonts w:ascii="Verdana" w:hAnsi="Verdana"/>
                <w:b/>
                <w:bCs/>
                <w:color w:val="FFFFFF"/>
                <w:sz w:val="17"/>
                <w:szCs w:val="17"/>
                <w:shd w:val="clear" w:color="auto" w:fill="B02B2E"/>
              </w:rPr>
              <w:t>State</w:t>
            </w:r>
          </w:p>
        </w:tc>
      </w:tr>
      <w:tr w:rsidR="00526EF9">
        <w:trPr>
          <w:divId w:val="6070860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6EF9" w:rsidRDefault="00526EF9"/>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r>
    </w:tbl>
    <w:p w:rsidR="00526EF9" w:rsidRDefault="00526EF9">
      <w:pPr>
        <w:divId w:val="607086025"/>
        <w:rPr>
          <w:color w:val="555555"/>
        </w:rPr>
      </w:pP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r>
        <w:rPr>
          <w:rFonts w:ascii="Verdana" w:hAnsi="Verdana"/>
          <w:color w:val="555555"/>
          <w:sz w:val="17"/>
          <w:szCs w:val="17"/>
        </w:rPr>
        <w:t>.</w:t>
      </w:r>
    </w:p>
    <w:p w:rsidR="00526EF9" w:rsidRDefault="00526EF9">
      <w:pPr>
        <w:pStyle w:val="Heading4"/>
        <w:divId w:val="607086025"/>
      </w:pPr>
      <w:r>
        <w:rPr>
          <w:color w:val="000000"/>
          <w:sz w:val="23"/>
          <w:szCs w:val="23"/>
        </w:rPr>
        <w:t>Standardized Testing and Reporting Results by Student Group – Most Recent Year</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94"/>
        <w:gridCol w:w="2219"/>
        <w:gridCol w:w="1386"/>
        <w:gridCol w:w="896"/>
        <w:gridCol w:w="2170"/>
      </w:tblGrid>
      <w:tr w:rsidR="00526EF9">
        <w:trPr>
          <w:divId w:val="60708602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rPr>
                <w:sz w:val="2"/>
              </w:rPr>
            </w:pPr>
            <w:r w:rsidRPr="00A73F70">
              <w:rPr>
                <w:rFonts w:ascii="Verdana" w:hAnsi="Verdana"/>
                <w:b/>
                <w:bCs/>
                <w:color w:val="FFFFFF"/>
                <w:sz w:val="18"/>
                <w:szCs w:val="18"/>
                <w:shd w:val="clear" w:color="auto" w:fill="1A4678"/>
              </w:rPr>
              <w:t>Percent of Students Scoring at Proficient or Advanced</w:t>
            </w:r>
          </w:p>
        </w:tc>
      </w:tr>
      <w:tr w:rsidR="00526EF9">
        <w:trPr>
          <w:divId w:val="6070860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6EF9" w:rsidRDefault="00526EF9"/>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English- Language Arts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Science</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History- Social Science</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32%</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jc w:val="right"/>
            </w:pPr>
            <w:r>
              <w:rPr>
                <w:rFonts w:ascii="Verdana" w:hAnsi="Verdana"/>
                <w:color w:val="666699"/>
                <w:sz w:val="17"/>
                <w:szCs w:val="17"/>
              </w:rPr>
              <w:t>0%</w:t>
            </w:r>
          </w:p>
        </w:tc>
      </w:tr>
    </w:tbl>
    <w:p w:rsidR="00526EF9" w:rsidRDefault="00526EF9">
      <w:pPr>
        <w:divId w:val="607086025"/>
        <w:rPr>
          <w:color w:val="555555"/>
        </w:rPr>
      </w:pPr>
      <w:r>
        <w:rPr>
          <w:color w:val="555555"/>
        </w:rPr>
        <w:br/>
      </w: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p>
    <w:p w:rsidR="00526EF9" w:rsidRDefault="00526EF9">
      <w:pPr>
        <w:pStyle w:val="Heading4"/>
        <w:divId w:val="607086025"/>
      </w:pPr>
      <w:r>
        <w:rPr>
          <w:color w:val="000000"/>
          <w:sz w:val="23"/>
          <w:szCs w:val="23"/>
        </w:rPr>
        <w:t>California High School Exit Examination</w:t>
      </w:r>
    </w:p>
    <w:p w:rsidR="00526EF9" w:rsidRDefault="00526EF9">
      <w:pPr>
        <w:divId w:val="607086025"/>
        <w:rPr>
          <w:color w:val="555555"/>
        </w:rPr>
      </w:pPr>
      <w:r>
        <w:rPr>
          <w:rFonts w:ascii="Verdana" w:hAnsi="Verdana"/>
          <w:color w:val="555555"/>
          <w:sz w:val="17"/>
          <w:szCs w:val="17"/>
        </w:rPr>
        <w:t>The California High School Exit Examination (CAHSEE) is primarily used as a graduation requirement. However, the grade ten results of this exam are also used to establish the percentages of students at three proficiency levels (not proficient, proficient, or advanced) in ELA and mathematics to compute AYP designations required by the federal ESEA, also known as NCLB.</w:t>
      </w:r>
      <w:r>
        <w:rPr>
          <w:color w:val="555555"/>
        </w:rPr>
        <w:br/>
      </w:r>
      <w:r>
        <w:rPr>
          <w:color w:val="555555"/>
        </w:rPr>
        <w:br/>
      </w:r>
      <w:r>
        <w:rPr>
          <w:rFonts w:ascii="Verdana" w:hAnsi="Verdana"/>
          <w:i/>
          <w:iCs/>
          <w:color w:val="555555"/>
          <w:sz w:val="17"/>
          <w:szCs w:val="17"/>
        </w:rPr>
        <w:t xml:space="preserve">For detailed information regarding CAHSEE results, see the CDE </w:t>
      </w:r>
      <w:r>
        <w:rPr>
          <w:rFonts w:ascii="Verdana" w:hAnsi="Verdana"/>
          <w:color w:val="555555"/>
          <w:sz w:val="17"/>
          <w:szCs w:val="17"/>
        </w:rPr>
        <w:t>CAHSEE Web site at</w:t>
      </w:r>
      <w:hyperlink r:id="rId13" w:history="1">
        <w:r>
          <w:rPr>
            <w:rStyle w:val="Hyperlink"/>
            <w:rFonts w:ascii="Verdana" w:hAnsi="Verdana"/>
            <w:color w:val="555555"/>
            <w:sz w:val="17"/>
            <w:szCs w:val="17"/>
          </w:rPr>
          <w:t xml:space="preserve"> http://cahsee.cde.ca.gov/</w:t>
        </w:r>
      </w:hyperlink>
      <w:r>
        <w:rPr>
          <w:rFonts w:ascii="Verdana" w:hAnsi="Verdana"/>
          <w:color w:val="555555"/>
          <w:sz w:val="17"/>
          <w:szCs w:val="17"/>
        </w:rPr>
        <w:t>.</w:t>
      </w:r>
    </w:p>
    <w:p w:rsidR="00526EF9" w:rsidRDefault="00526EF9">
      <w:pPr>
        <w:pStyle w:val="Heading4"/>
        <w:divId w:val="607086025"/>
      </w:pPr>
      <w:r>
        <w:rPr>
          <w:color w:val="000000"/>
          <w:sz w:val="23"/>
          <w:szCs w:val="23"/>
        </w:rPr>
        <w:lastRenderedPageBreak/>
        <w:t>California High School Exit Examination Results for All Grade Ten Students – Three-Year Comparison (if applicable)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64"/>
        <w:gridCol w:w="977"/>
        <w:gridCol w:w="978"/>
        <w:gridCol w:w="978"/>
        <w:gridCol w:w="978"/>
        <w:gridCol w:w="978"/>
        <w:gridCol w:w="978"/>
        <w:gridCol w:w="978"/>
        <w:gridCol w:w="978"/>
        <w:gridCol w:w="978"/>
      </w:tblGrid>
      <w:tr w:rsidR="00526EF9">
        <w:trPr>
          <w:divId w:val="60708602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rPr>
                <w:sz w:val="2"/>
              </w:rPr>
            </w:pPr>
            <w:r w:rsidRPr="00A73F70">
              <w:rPr>
                <w:rFonts w:ascii="Verdana" w:hAnsi="Verdana"/>
                <w:b/>
                <w:bCs/>
                <w:color w:val="FFFFFF"/>
                <w:sz w:val="18"/>
                <w:szCs w:val="18"/>
                <w:shd w:val="clear" w:color="auto" w:fill="1A4678"/>
              </w:rPr>
              <w:t>Percent of Students Scoring at Proficient or Advanced</w:t>
            </w:r>
          </w:p>
        </w:tc>
      </w:tr>
      <w:tr w:rsidR="00526EF9">
        <w:trPr>
          <w:divId w:val="6070860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6EF9" w:rsidRDefault="00526EF9"/>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rPr>
                <w:sz w:val="2"/>
              </w:rPr>
            </w:pPr>
            <w:r w:rsidRPr="00A73F70">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rPr>
                <w:sz w:val="2"/>
              </w:rPr>
            </w:pPr>
            <w:r w:rsidRPr="00A73F70">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rPr>
                <w:sz w:val="2"/>
              </w:rPr>
            </w:pPr>
            <w:r w:rsidRPr="00A73F70">
              <w:rPr>
                <w:rFonts w:ascii="Verdana" w:hAnsi="Verdana"/>
                <w:b/>
                <w:bCs/>
                <w:color w:val="FFFFFF"/>
                <w:sz w:val="17"/>
                <w:szCs w:val="17"/>
                <w:shd w:val="clear" w:color="auto" w:fill="B02B2E"/>
              </w:rPr>
              <w:t>State</w:t>
            </w:r>
          </w:p>
        </w:tc>
      </w:tr>
      <w:tr w:rsidR="00526EF9">
        <w:trPr>
          <w:divId w:val="6070860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6EF9" w:rsidRDefault="00526EF9"/>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bl>
    <w:p w:rsidR="00526EF9" w:rsidRDefault="00526EF9">
      <w:pPr>
        <w:divId w:val="607086025"/>
        <w:rPr>
          <w:color w:val="555555"/>
        </w:rPr>
      </w:pP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526EF9" w:rsidRDefault="00526EF9">
      <w:pPr>
        <w:pStyle w:val="Heading4"/>
        <w:divId w:val="607086025"/>
      </w:pPr>
      <w:r>
        <w:rPr>
          <w:color w:val="000000"/>
          <w:sz w:val="23"/>
          <w:szCs w:val="23"/>
        </w:rPr>
        <w:t>California High School Exit Examination Grade Ten Results by Student Group – Most Recent Year (if applicable)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31"/>
        <w:gridCol w:w="1373"/>
        <w:gridCol w:w="1096"/>
        <w:gridCol w:w="1098"/>
        <w:gridCol w:w="1373"/>
        <w:gridCol w:w="1096"/>
        <w:gridCol w:w="1098"/>
      </w:tblGrid>
      <w:tr w:rsidR="00526EF9">
        <w:trPr>
          <w:divId w:val="60708602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rPr>
                <w:sz w:val="2"/>
              </w:rPr>
            </w:pPr>
            <w:r w:rsidRPr="00A73F70">
              <w:rPr>
                <w:rFonts w:ascii="Verdana" w:hAnsi="Verdana"/>
                <w:b/>
                <w:bCs/>
                <w:color w:val="FFFFFF"/>
                <w:sz w:val="18"/>
                <w:szCs w:val="18"/>
                <w:shd w:val="clear" w:color="auto" w:fill="1A4678"/>
              </w:rPr>
              <w:t>English-Language Arts</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rPr>
                <w:sz w:val="2"/>
              </w:rPr>
            </w:pPr>
            <w:r w:rsidRPr="00A73F70">
              <w:rPr>
                <w:rFonts w:ascii="Verdana" w:hAnsi="Verdana"/>
                <w:b/>
                <w:bCs/>
                <w:color w:val="FFFFFF"/>
                <w:sz w:val="18"/>
                <w:szCs w:val="18"/>
                <w:shd w:val="clear" w:color="auto" w:fill="1A4678"/>
              </w:rPr>
              <w:t>Mathematics</w:t>
            </w:r>
          </w:p>
        </w:tc>
      </w:tr>
      <w:tr w:rsidR="00526EF9">
        <w:trPr>
          <w:divId w:val="6070860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6EF9" w:rsidRDefault="00526EF9"/>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bl>
    <w:p w:rsidR="00526EF9" w:rsidRDefault="00526EF9">
      <w:pPr>
        <w:divId w:val="607086025"/>
        <w:rPr>
          <w:color w:val="555555"/>
        </w:rPr>
      </w:pP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B90301" w:rsidRDefault="00B90301">
      <w:pPr>
        <w:pStyle w:val="Heading4"/>
        <w:divId w:val="607086025"/>
        <w:rPr>
          <w:color w:val="000000"/>
          <w:sz w:val="23"/>
          <w:szCs w:val="23"/>
        </w:rPr>
      </w:pPr>
    </w:p>
    <w:p w:rsidR="00B90301" w:rsidRDefault="00B90301">
      <w:pPr>
        <w:pStyle w:val="Heading4"/>
        <w:divId w:val="607086025"/>
        <w:rPr>
          <w:color w:val="000000"/>
          <w:sz w:val="23"/>
          <w:szCs w:val="23"/>
        </w:rPr>
      </w:pPr>
    </w:p>
    <w:p w:rsidR="00B90301" w:rsidRDefault="00B90301">
      <w:pPr>
        <w:pStyle w:val="Heading4"/>
        <w:divId w:val="607086025"/>
        <w:rPr>
          <w:color w:val="000000"/>
          <w:sz w:val="23"/>
          <w:szCs w:val="23"/>
        </w:rPr>
      </w:pPr>
    </w:p>
    <w:p w:rsidR="00B90301" w:rsidRDefault="00B90301">
      <w:pPr>
        <w:pStyle w:val="Heading4"/>
        <w:divId w:val="607086025"/>
        <w:rPr>
          <w:color w:val="000000"/>
          <w:sz w:val="23"/>
          <w:szCs w:val="23"/>
        </w:rPr>
      </w:pPr>
    </w:p>
    <w:p w:rsidR="00B90301" w:rsidRDefault="00B90301">
      <w:pPr>
        <w:pStyle w:val="Heading4"/>
        <w:divId w:val="607086025"/>
        <w:rPr>
          <w:color w:val="000000"/>
          <w:sz w:val="23"/>
          <w:szCs w:val="23"/>
        </w:rPr>
      </w:pPr>
    </w:p>
    <w:p w:rsidR="00526EF9" w:rsidRDefault="00526EF9">
      <w:pPr>
        <w:pStyle w:val="Heading4"/>
        <w:divId w:val="607086025"/>
      </w:pPr>
      <w:r>
        <w:rPr>
          <w:color w:val="000000"/>
          <w:sz w:val="23"/>
          <w:szCs w:val="23"/>
        </w:rPr>
        <w:lastRenderedPageBreak/>
        <w:t>California Physical Fitness Test Results (School Year 2010–11)</w:t>
      </w:r>
    </w:p>
    <w:p w:rsidR="00526EF9" w:rsidRDefault="00526EF9">
      <w:pPr>
        <w:divId w:val="607086025"/>
        <w:rPr>
          <w:rFonts w:ascii="Verdana" w:hAnsi="Verdana"/>
          <w:color w:val="555555"/>
          <w:sz w:val="17"/>
          <w:szCs w:val="17"/>
        </w:rPr>
      </w:pPr>
      <w:r>
        <w:rPr>
          <w:rFonts w:ascii="Verdana" w:hAnsi="Verdana"/>
          <w:color w:val="555555"/>
          <w:sz w:val="17"/>
          <w:szCs w:val="17"/>
        </w:rPr>
        <w:t xml:space="preserve">The California Physical Fitness Test (PFT) is administered to students in grades five, seven, and nine only. This table displays by grade level the percent of students meeting the fitness standards for the most recent testing period. For detailed information regarding this test, and comparisons of a school’s test results to the district and state, see the CDE </w:t>
      </w:r>
      <w:r>
        <w:rPr>
          <w:rFonts w:ascii="Verdana" w:hAnsi="Verdana"/>
          <w:i/>
          <w:iCs/>
          <w:color w:val="555555"/>
          <w:sz w:val="17"/>
          <w:szCs w:val="17"/>
        </w:rPr>
        <w:t>PFT</w:t>
      </w:r>
      <w:r>
        <w:rPr>
          <w:rFonts w:ascii="Verdana" w:hAnsi="Verdana"/>
          <w:color w:val="555555"/>
          <w:sz w:val="17"/>
          <w:szCs w:val="17"/>
        </w:rPr>
        <w:t xml:space="preserve"> Web page at</w:t>
      </w:r>
      <w:hyperlink r:id="rId14" w:history="1">
        <w:r>
          <w:rPr>
            <w:rStyle w:val="Hyperlink"/>
            <w:rFonts w:ascii="Verdana" w:hAnsi="Verdana"/>
            <w:color w:val="555555"/>
            <w:sz w:val="17"/>
            <w:szCs w:val="17"/>
          </w:rPr>
          <w:t xml:space="preserve"> http://www.cde.ca.gov/ta/tg/pf/</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95"/>
        <w:gridCol w:w="2228"/>
        <w:gridCol w:w="2188"/>
        <w:gridCol w:w="2088"/>
      </w:tblGrid>
      <w:tr w:rsidR="00526EF9">
        <w:trPr>
          <w:divId w:val="60708602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rPr>
                <w:sz w:val="2"/>
              </w:rPr>
            </w:pPr>
            <w:r w:rsidRPr="00A73F70">
              <w:rPr>
                <w:rFonts w:ascii="Verdana" w:hAnsi="Verdana"/>
                <w:b/>
                <w:bCs/>
                <w:color w:val="FFFFFF"/>
                <w:sz w:val="18"/>
                <w:szCs w:val="18"/>
                <w:shd w:val="clear" w:color="auto" w:fill="1A4678"/>
              </w:rPr>
              <w:t>Percent of Students Meeting Fitness Standards</w:t>
            </w:r>
          </w:p>
        </w:tc>
      </w:tr>
      <w:tr w:rsidR="00526EF9">
        <w:trPr>
          <w:divId w:val="6070860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6EF9" w:rsidRDefault="00526EF9"/>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Four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Five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Six of Six Standards</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17.60%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30.20%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30.20%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14.30%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r>
    </w:tbl>
    <w:p w:rsidR="00526EF9" w:rsidRDefault="00526EF9">
      <w:pPr>
        <w:divId w:val="607086025"/>
        <w:rPr>
          <w:color w:val="555555"/>
        </w:rPr>
      </w:pP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B90301" w:rsidRDefault="00B90301">
      <w:pPr>
        <w:pStyle w:val="Heading2"/>
        <w:divId w:val="607086025"/>
        <w:rPr>
          <w:color w:val="000000"/>
          <w:sz w:val="32"/>
          <w:szCs w:val="32"/>
        </w:rPr>
      </w:pPr>
    </w:p>
    <w:p w:rsidR="00526EF9" w:rsidRDefault="00526EF9">
      <w:pPr>
        <w:pStyle w:val="Heading2"/>
        <w:divId w:val="607086025"/>
      </w:pPr>
      <w:r>
        <w:rPr>
          <w:color w:val="000000"/>
          <w:sz w:val="32"/>
          <w:szCs w:val="32"/>
        </w:rPr>
        <w:t>X. Accountability</w:t>
      </w:r>
    </w:p>
    <w:p w:rsidR="00526EF9" w:rsidRDefault="00526EF9">
      <w:pPr>
        <w:pStyle w:val="Heading4"/>
        <w:divId w:val="607086025"/>
      </w:pPr>
      <w:r>
        <w:rPr>
          <w:color w:val="000000"/>
          <w:sz w:val="23"/>
          <w:szCs w:val="23"/>
        </w:rPr>
        <w:t>Academic Performance Index</w:t>
      </w:r>
    </w:p>
    <w:p w:rsidR="00526EF9" w:rsidRDefault="00526EF9">
      <w:pPr>
        <w:divId w:val="607086025"/>
        <w:rPr>
          <w:color w:val="555555"/>
        </w:rPr>
      </w:pPr>
      <w:r>
        <w:rPr>
          <w:rFonts w:ascii="Verdana" w:hAnsi="Verdana"/>
          <w:color w:val="555555"/>
          <w:sz w:val="17"/>
          <w:szCs w:val="17"/>
        </w:rPr>
        <w:t xml:space="preserve">The Academic Performance Index (API) is an annual measure of state academic performance and progress of schools in California. API scores range from 200 to 1,000, with a statewide target of 800. For detailed information about the API, see the CDE </w:t>
      </w:r>
      <w:r>
        <w:rPr>
          <w:rFonts w:ascii="Verdana" w:hAnsi="Verdana"/>
          <w:i/>
          <w:iCs/>
          <w:color w:val="555555"/>
          <w:sz w:val="17"/>
          <w:szCs w:val="17"/>
        </w:rPr>
        <w:t>API</w:t>
      </w:r>
      <w:r>
        <w:rPr>
          <w:rFonts w:ascii="Verdana" w:hAnsi="Verdana"/>
          <w:color w:val="555555"/>
          <w:sz w:val="17"/>
          <w:szCs w:val="17"/>
        </w:rPr>
        <w:t xml:space="preserve"> </w:t>
      </w:r>
      <w:r>
        <w:rPr>
          <w:rFonts w:ascii="Verdana" w:hAnsi="Verdana"/>
          <w:i/>
          <w:iCs/>
          <w:color w:val="555555"/>
          <w:sz w:val="17"/>
          <w:szCs w:val="17"/>
        </w:rPr>
        <w:t>Web page at</w:t>
      </w:r>
      <w:hyperlink r:id="rId15"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http://www.cde.ca.gov/ta/ac/ap/</w:t>
        </w:r>
      </w:hyperlink>
      <w:r>
        <w:rPr>
          <w:rFonts w:ascii="Verdana" w:hAnsi="Verdana"/>
          <w:color w:val="555555"/>
          <w:sz w:val="17"/>
          <w:szCs w:val="17"/>
        </w:rPr>
        <w:t>.</w:t>
      </w:r>
    </w:p>
    <w:p w:rsidR="00526EF9" w:rsidRDefault="00526EF9">
      <w:pPr>
        <w:pStyle w:val="Heading4"/>
        <w:divId w:val="607086025"/>
      </w:pPr>
      <w:r>
        <w:rPr>
          <w:color w:val="000000"/>
          <w:sz w:val="23"/>
          <w:szCs w:val="23"/>
        </w:rPr>
        <w:t>Academic Performance Index Ranks – Three-Year Comparison</w:t>
      </w:r>
    </w:p>
    <w:p w:rsidR="00526EF9" w:rsidRDefault="00526EF9">
      <w:pPr>
        <w:divId w:val="607086025"/>
        <w:rPr>
          <w:color w:val="555555"/>
        </w:rPr>
      </w:pPr>
      <w:r>
        <w:rPr>
          <w:rFonts w:ascii="Verdana" w:hAnsi="Verdana"/>
          <w:color w:val="555555"/>
          <w:sz w:val="17"/>
          <w:szCs w:val="17"/>
        </w:rPr>
        <w:t xml:space="preserve">This table displays the school’s statewide and similar schools’ API ranks. </w:t>
      </w:r>
      <w:proofErr w:type="gramStart"/>
      <w:r>
        <w:rPr>
          <w:rFonts w:ascii="Verdana" w:hAnsi="Verdana"/>
          <w:color w:val="555555"/>
          <w:sz w:val="17"/>
          <w:szCs w:val="17"/>
        </w:rPr>
        <w:t xml:space="preserve">The </w:t>
      </w:r>
      <w:r>
        <w:rPr>
          <w:rFonts w:ascii="Verdana" w:hAnsi="Verdana"/>
          <w:b/>
          <w:bCs/>
          <w:i/>
          <w:iCs/>
          <w:color w:val="555555"/>
          <w:sz w:val="17"/>
          <w:szCs w:val="17"/>
        </w:rPr>
        <w:t>statewide API rank</w:t>
      </w:r>
      <w:r>
        <w:rPr>
          <w:rFonts w:ascii="Verdana" w:hAnsi="Verdana"/>
          <w:color w:val="555555"/>
          <w:sz w:val="17"/>
          <w:szCs w:val="17"/>
        </w:rPr>
        <w:t xml:space="preserve"> ranges from 1 to 10.</w:t>
      </w:r>
      <w:proofErr w:type="gramEnd"/>
      <w:r>
        <w:rPr>
          <w:rFonts w:ascii="Verdana" w:hAnsi="Verdana"/>
          <w:color w:val="555555"/>
          <w:sz w:val="17"/>
          <w:szCs w:val="17"/>
        </w:rPr>
        <w:t xml:space="preserve"> A statewide rank of 1 means that the school has an API score in the lowest ten percent of all schools in the state, while a statewide rank of 10 means that the school has an API score in the highest ten percent of all schools in the state.</w:t>
      </w:r>
      <w:r>
        <w:rPr>
          <w:color w:val="555555"/>
        </w:rPr>
        <w:br/>
      </w:r>
      <w:r>
        <w:rPr>
          <w:color w:val="555555"/>
        </w:rPr>
        <w:br/>
      </w:r>
      <w:r>
        <w:rPr>
          <w:rFonts w:ascii="Verdana" w:hAnsi="Verdana"/>
          <w:color w:val="555555"/>
          <w:sz w:val="17"/>
          <w:szCs w:val="17"/>
        </w:rPr>
        <w:t xml:space="preserve">The </w:t>
      </w:r>
      <w:r>
        <w:rPr>
          <w:rFonts w:ascii="Verdana" w:hAnsi="Verdana"/>
          <w:b/>
          <w:bCs/>
          <w:i/>
          <w:iCs/>
          <w:color w:val="555555"/>
          <w:sz w:val="17"/>
          <w:szCs w:val="17"/>
        </w:rPr>
        <w:t>similar schools API rank</w:t>
      </w:r>
      <w:r>
        <w:rPr>
          <w:rFonts w:ascii="Verdana" w:hAnsi="Verdana"/>
          <w:color w:val="555555"/>
          <w:sz w:val="17"/>
          <w:szCs w:val="17"/>
        </w:rPr>
        <w:t xml:space="preserve"> reflects how a school compares to 100 statistically matched “similar schools.” A similar schools rank of 1 means that the school’s academic performance is comparable to the lowest performing ten schools of the 100 similar schools, while a similar schools rank of 10 means that the school’s academic performance is better than at least 90 of the 100 similar schools.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6"/>
        <w:gridCol w:w="712"/>
        <w:gridCol w:w="712"/>
        <w:gridCol w:w="712"/>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API Rank</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2008</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Similar Schools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r>
    </w:tbl>
    <w:p w:rsidR="00B90301" w:rsidRDefault="00B90301">
      <w:pPr>
        <w:pStyle w:val="Heading4"/>
        <w:divId w:val="607086025"/>
        <w:rPr>
          <w:rFonts w:ascii="Times New Roman" w:hAnsi="Times New Roman" w:cs="Times New Roman"/>
          <w:b w:val="0"/>
          <w:bCs w:val="0"/>
          <w:color w:val="555555"/>
          <w:sz w:val="24"/>
          <w:szCs w:val="24"/>
        </w:rPr>
      </w:pPr>
    </w:p>
    <w:p w:rsidR="00B90301" w:rsidRDefault="00B90301">
      <w:pPr>
        <w:pStyle w:val="Heading4"/>
        <w:divId w:val="607086025"/>
        <w:rPr>
          <w:rFonts w:ascii="Times New Roman" w:hAnsi="Times New Roman" w:cs="Times New Roman"/>
          <w:b w:val="0"/>
          <w:bCs w:val="0"/>
          <w:color w:val="555555"/>
          <w:sz w:val="24"/>
          <w:szCs w:val="24"/>
        </w:rPr>
      </w:pPr>
    </w:p>
    <w:p w:rsidR="00B90301" w:rsidRDefault="00B90301">
      <w:pPr>
        <w:pStyle w:val="Heading4"/>
        <w:divId w:val="607086025"/>
        <w:rPr>
          <w:rFonts w:ascii="Times New Roman" w:hAnsi="Times New Roman" w:cs="Times New Roman"/>
          <w:b w:val="0"/>
          <w:bCs w:val="0"/>
          <w:color w:val="555555"/>
          <w:sz w:val="24"/>
          <w:szCs w:val="24"/>
        </w:rPr>
      </w:pPr>
    </w:p>
    <w:p w:rsidR="00B90301" w:rsidRDefault="00B90301">
      <w:pPr>
        <w:pStyle w:val="Heading4"/>
        <w:divId w:val="607086025"/>
        <w:rPr>
          <w:rFonts w:ascii="Times New Roman" w:hAnsi="Times New Roman" w:cs="Times New Roman"/>
          <w:b w:val="0"/>
          <w:bCs w:val="0"/>
          <w:color w:val="555555"/>
          <w:sz w:val="24"/>
          <w:szCs w:val="24"/>
        </w:rPr>
      </w:pPr>
    </w:p>
    <w:p w:rsidR="00B90301" w:rsidRDefault="00B90301">
      <w:pPr>
        <w:pStyle w:val="Heading4"/>
        <w:divId w:val="607086025"/>
        <w:rPr>
          <w:rFonts w:ascii="Times New Roman" w:hAnsi="Times New Roman" w:cs="Times New Roman"/>
          <w:b w:val="0"/>
          <w:bCs w:val="0"/>
          <w:color w:val="555555"/>
          <w:sz w:val="24"/>
          <w:szCs w:val="24"/>
        </w:rPr>
      </w:pPr>
    </w:p>
    <w:p w:rsidR="00B90301" w:rsidRDefault="00B90301">
      <w:pPr>
        <w:pStyle w:val="Heading4"/>
        <w:divId w:val="607086025"/>
        <w:rPr>
          <w:rFonts w:ascii="Times New Roman" w:hAnsi="Times New Roman" w:cs="Times New Roman"/>
          <w:b w:val="0"/>
          <w:bCs w:val="0"/>
          <w:color w:val="555555"/>
          <w:sz w:val="24"/>
          <w:szCs w:val="24"/>
        </w:rPr>
      </w:pPr>
    </w:p>
    <w:p w:rsidR="00B90301" w:rsidRDefault="00B90301">
      <w:pPr>
        <w:pStyle w:val="Heading4"/>
        <w:divId w:val="607086025"/>
        <w:rPr>
          <w:rFonts w:ascii="Times New Roman" w:hAnsi="Times New Roman" w:cs="Times New Roman"/>
          <w:b w:val="0"/>
          <w:bCs w:val="0"/>
          <w:color w:val="555555"/>
          <w:sz w:val="24"/>
          <w:szCs w:val="24"/>
        </w:rPr>
      </w:pPr>
    </w:p>
    <w:p w:rsidR="00B90301" w:rsidRDefault="00B90301">
      <w:pPr>
        <w:pStyle w:val="Heading4"/>
        <w:divId w:val="607086025"/>
        <w:rPr>
          <w:rFonts w:ascii="Times New Roman" w:hAnsi="Times New Roman" w:cs="Times New Roman"/>
          <w:b w:val="0"/>
          <w:bCs w:val="0"/>
          <w:color w:val="555555"/>
          <w:sz w:val="24"/>
          <w:szCs w:val="24"/>
        </w:rPr>
      </w:pPr>
    </w:p>
    <w:p w:rsidR="00B90301" w:rsidRDefault="00B90301">
      <w:pPr>
        <w:pStyle w:val="Heading4"/>
        <w:divId w:val="607086025"/>
        <w:rPr>
          <w:rFonts w:ascii="Times New Roman" w:hAnsi="Times New Roman" w:cs="Times New Roman"/>
          <w:b w:val="0"/>
          <w:bCs w:val="0"/>
          <w:color w:val="555555"/>
          <w:sz w:val="24"/>
          <w:szCs w:val="24"/>
        </w:rPr>
      </w:pPr>
    </w:p>
    <w:p w:rsidR="00526EF9" w:rsidRDefault="00526EF9">
      <w:pPr>
        <w:pStyle w:val="Heading4"/>
        <w:divId w:val="607086025"/>
      </w:pPr>
      <w:r>
        <w:rPr>
          <w:color w:val="000000"/>
          <w:sz w:val="23"/>
          <w:szCs w:val="23"/>
        </w:rPr>
        <w:lastRenderedPageBreak/>
        <w:t>Academic Performance Index Growth by Student Group – Three-Year Comparison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74"/>
        <w:gridCol w:w="2582"/>
        <w:gridCol w:w="2582"/>
        <w:gridCol w:w="2582"/>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2010–11</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bl>
    <w:p w:rsidR="00526EF9" w:rsidRDefault="00526EF9">
      <w:pPr>
        <w:divId w:val="607086025"/>
        <w:rPr>
          <w:color w:val="555555"/>
        </w:rPr>
      </w:pPr>
      <w:r>
        <w:rPr>
          <w:color w:val="555555"/>
        </w:rPr>
        <w:br/>
      </w:r>
      <w:r>
        <w:rPr>
          <w:rFonts w:ascii="Verdana" w:hAnsi="Verdana"/>
          <w:color w:val="555555"/>
          <w:sz w:val="17"/>
          <w:szCs w:val="17"/>
        </w:rPr>
        <w:t>Note: “N/D” means that no data were available to the CDE or LEA to report. “B” means the school did not have a valid API Base and there is no Growth or target information. “C” means the school had significant demographic changes and there is no Growth or target information.</w:t>
      </w:r>
    </w:p>
    <w:p w:rsidR="00526EF9" w:rsidRDefault="00526EF9">
      <w:pPr>
        <w:pStyle w:val="Heading4"/>
        <w:divId w:val="607086025"/>
      </w:pPr>
      <w:r>
        <w:rPr>
          <w:color w:val="000000"/>
          <w:sz w:val="23"/>
          <w:szCs w:val="23"/>
        </w:rPr>
        <w:t>Academic Performance Index Growth by Student Group – 2011 Growth API Comparison</w:t>
      </w:r>
    </w:p>
    <w:p w:rsidR="00526EF9" w:rsidRDefault="00526EF9">
      <w:pPr>
        <w:divId w:val="607086025"/>
        <w:rPr>
          <w:color w:val="555555"/>
        </w:rPr>
      </w:pPr>
      <w:r>
        <w:rPr>
          <w:rFonts w:ascii="Verdana" w:hAnsi="Verdana"/>
          <w:color w:val="555555"/>
          <w:sz w:val="17"/>
          <w:szCs w:val="17"/>
        </w:rPr>
        <w:t>This table displays, by student group, the number of students included in the API and the 2011 Growth API at the school, LEA, and state level.</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49"/>
        <w:gridCol w:w="1903"/>
        <w:gridCol w:w="804"/>
        <w:gridCol w:w="1903"/>
        <w:gridCol w:w="527"/>
        <w:gridCol w:w="1906"/>
        <w:gridCol w:w="673"/>
      </w:tblGrid>
      <w:tr w:rsidR="00526EF9">
        <w:trPr>
          <w:divId w:val="60708602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6"/>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rPr>
                <w:sz w:val="2"/>
              </w:rPr>
            </w:pPr>
            <w:r w:rsidRPr="00A73F70">
              <w:rPr>
                <w:rFonts w:ascii="Verdana" w:hAnsi="Verdana"/>
                <w:b/>
                <w:bCs/>
                <w:color w:val="FFFFFF"/>
                <w:sz w:val="18"/>
                <w:szCs w:val="18"/>
                <w:shd w:val="clear" w:color="auto" w:fill="1A4678"/>
              </w:rPr>
              <w:t>2011 Growth API</w:t>
            </w:r>
          </w:p>
        </w:tc>
      </w:tr>
      <w:tr w:rsidR="00526EF9">
        <w:trPr>
          <w:divId w:val="6070860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6EF9" w:rsidRDefault="00526EF9"/>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LEA</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13,537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4,683,676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778</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317,856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696</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33,774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733</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398,869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898</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123,245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859</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2,406,749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729</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26,953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764</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1,258,831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845</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76,766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836</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304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2,731,843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726</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1,521,844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707</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521,815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595</w:t>
            </w:r>
          </w:p>
        </w:tc>
      </w:tr>
    </w:tbl>
    <w:p w:rsidR="00526EF9" w:rsidRDefault="00526EF9">
      <w:pPr>
        <w:divId w:val="607086025"/>
        <w:rPr>
          <w:color w:val="555555"/>
        </w:rPr>
      </w:pPr>
    </w:p>
    <w:p w:rsidR="00B90301" w:rsidRDefault="00B90301">
      <w:pPr>
        <w:pStyle w:val="Heading4"/>
        <w:divId w:val="607086025"/>
        <w:rPr>
          <w:color w:val="000000"/>
          <w:sz w:val="23"/>
          <w:szCs w:val="23"/>
        </w:rPr>
      </w:pPr>
    </w:p>
    <w:p w:rsidR="00526EF9" w:rsidRDefault="00526EF9">
      <w:pPr>
        <w:pStyle w:val="Heading4"/>
        <w:divId w:val="607086025"/>
      </w:pPr>
      <w:r>
        <w:rPr>
          <w:color w:val="000000"/>
          <w:sz w:val="23"/>
          <w:szCs w:val="23"/>
        </w:rPr>
        <w:lastRenderedPageBreak/>
        <w:t>Adequate Yearly Progress</w:t>
      </w:r>
    </w:p>
    <w:p w:rsidR="00526EF9" w:rsidRDefault="00526EF9">
      <w:pPr>
        <w:divId w:val="607086025"/>
        <w:rPr>
          <w:color w:val="555555"/>
        </w:rPr>
      </w:pPr>
      <w:r>
        <w:rPr>
          <w:rFonts w:ascii="Verdana" w:hAnsi="Verdana"/>
          <w:color w:val="555555"/>
          <w:sz w:val="17"/>
          <w:szCs w:val="17"/>
        </w:rPr>
        <w:t>The federal ESEA requires that all schools and districts meet the following Adequate Yearly Progress (AYP) criteria:</w:t>
      </w:r>
    </w:p>
    <w:p w:rsidR="00526EF9" w:rsidRDefault="00526EF9">
      <w:pPr>
        <w:numPr>
          <w:ilvl w:val="0"/>
          <w:numId w:val="4"/>
        </w:numPr>
        <w:spacing w:before="100" w:beforeAutospacing="1" w:after="100" w:afterAutospacing="1"/>
        <w:textAlignment w:val="baseline"/>
        <w:divId w:val="607086025"/>
        <w:rPr>
          <w:rFonts w:ascii="Arial" w:hAnsi="Arial" w:cs="Arial"/>
          <w:color w:val="000000"/>
          <w:sz w:val="23"/>
          <w:szCs w:val="23"/>
        </w:rPr>
      </w:pPr>
      <w:r>
        <w:rPr>
          <w:rFonts w:ascii="Verdana" w:hAnsi="Verdana" w:cs="Arial"/>
          <w:color w:val="555555"/>
          <w:sz w:val="17"/>
          <w:szCs w:val="17"/>
        </w:rPr>
        <w:t>Participation rate on the state’s standards-based assessments in ELA and mathematics</w:t>
      </w:r>
    </w:p>
    <w:p w:rsidR="00526EF9" w:rsidRDefault="00526EF9">
      <w:pPr>
        <w:numPr>
          <w:ilvl w:val="0"/>
          <w:numId w:val="4"/>
        </w:numPr>
        <w:spacing w:before="100" w:beforeAutospacing="1" w:after="100" w:afterAutospacing="1"/>
        <w:textAlignment w:val="baseline"/>
        <w:divId w:val="607086025"/>
        <w:rPr>
          <w:rFonts w:ascii="Arial" w:hAnsi="Arial" w:cs="Arial"/>
          <w:color w:val="000000"/>
          <w:sz w:val="23"/>
          <w:szCs w:val="23"/>
        </w:rPr>
      </w:pPr>
      <w:r>
        <w:rPr>
          <w:rFonts w:ascii="Verdana" w:hAnsi="Verdana" w:cs="Arial"/>
          <w:color w:val="555555"/>
          <w:sz w:val="17"/>
          <w:szCs w:val="17"/>
        </w:rPr>
        <w:t>Percent proficient on the state’s standards-based assessments in ELA and mathematics</w:t>
      </w:r>
    </w:p>
    <w:p w:rsidR="00526EF9" w:rsidRDefault="00526EF9">
      <w:pPr>
        <w:numPr>
          <w:ilvl w:val="0"/>
          <w:numId w:val="4"/>
        </w:numPr>
        <w:spacing w:before="100" w:beforeAutospacing="1" w:after="100" w:afterAutospacing="1"/>
        <w:textAlignment w:val="baseline"/>
        <w:divId w:val="607086025"/>
        <w:rPr>
          <w:rFonts w:ascii="Arial" w:hAnsi="Arial" w:cs="Arial"/>
          <w:color w:val="000000"/>
          <w:sz w:val="23"/>
          <w:szCs w:val="23"/>
        </w:rPr>
      </w:pPr>
      <w:r>
        <w:rPr>
          <w:rFonts w:ascii="Verdana" w:hAnsi="Verdana" w:cs="Arial"/>
          <w:color w:val="555555"/>
          <w:sz w:val="17"/>
          <w:szCs w:val="17"/>
        </w:rPr>
        <w:t>API as an additional indicator</w:t>
      </w:r>
    </w:p>
    <w:p w:rsidR="00526EF9" w:rsidRDefault="00526EF9">
      <w:pPr>
        <w:numPr>
          <w:ilvl w:val="0"/>
          <w:numId w:val="4"/>
        </w:numPr>
        <w:spacing w:before="100" w:beforeAutospacing="1" w:after="100" w:afterAutospacing="1"/>
        <w:textAlignment w:val="baseline"/>
        <w:divId w:val="607086025"/>
        <w:rPr>
          <w:rFonts w:ascii="Arial" w:hAnsi="Arial" w:cs="Arial"/>
          <w:color w:val="000000"/>
          <w:sz w:val="23"/>
          <w:szCs w:val="23"/>
        </w:rPr>
      </w:pPr>
      <w:r>
        <w:rPr>
          <w:rFonts w:ascii="Verdana" w:hAnsi="Verdana" w:cs="Arial"/>
          <w:color w:val="555555"/>
          <w:sz w:val="17"/>
          <w:szCs w:val="17"/>
        </w:rPr>
        <w:t>Graduation rate (for secondary schools)</w:t>
      </w:r>
    </w:p>
    <w:p w:rsidR="00526EF9" w:rsidRDefault="00526EF9">
      <w:pPr>
        <w:divId w:val="607086025"/>
        <w:rPr>
          <w:color w:val="555555"/>
        </w:rPr>
      </w:pPr>
      <w:r>
        <w:rPr>
          <w:color w:val="555555"/>
        </w:rPr>
        <w:br/>
      </w:r>
      <w:r>
        <w:rPr>
          <w:color w:val="555555"/>
        </w:rPr>
        <w:br/>
      </w:r>
      <w:r>
        <w:rPr>
          <w:rFonts w:ascii="Verdana" w:hAnsi="Verdana"/>
          <w:color w:val="555555"/>
          <w:sz w:val="17"/>
          <w:szCs w:val="17"/>
        </w:rPr>
        <w:t xml:space="preserve">For detailed information about AYP, including participation rates and percent proficient results by student group, see the CDE </w:t>
      </w:r>
      <w:r>
        <w:rPr>
          <w:rFonts w:ascii="Verdana" w:hAnsi="Verdana"/>
          <w:i/>
          <w:iCs/>
          <w:color w:val="555555"/>
          <w:sz w:val="17"/>
          <w:szCs w:val="17"/>
        </w:rPr>
        <w:t>AYP</w:t>
      </w:r>
      <w:r>
        <w:rPr>
          <w:rFonts w:ascii="Verdana" w:hAnsi="Verdana"/>
          <w:color w:val="555555"/>
          <w:sz w:val="17"/>
          <w:szCs w:val="17"/>
        </w:rPr>
        <w:t xml:space="preserve"> </w:t>
      </w:r>
      <w:r>
        <w:rPr>
          <w:rFonts w:ascii="Verdana" w:hAnsi="Verdana"/>
          <w:i/>
          <w:iCs/>
          <w:color w:val="555555"/>
          <w:sz w:val="17"/>
          <w:szCs w:val="17"/>
        </w:rPr>
        <w:t>Web page at</w:t>
      </w:r>
      <w:hyperlink r:id="rId16"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http://www.cde.ca.gov/ta/ac/ay/</w:t>
        </w:r>
      </w:hyperlink>
      <w:r>
        <w:rPr>
          <w:rFonts w:ascii="Verdana" w:hAnsi="Verdana"/>
          <w:color w:val="555555"/>
          <w:sz w:val="17"/>
          <w:szCs w:val="17"/>
        </w:rPr>
        <w:t>.</w:t>
      </w:r>
    </w:p>
    <w:p w:rsidR="00526EF9" w:rsidRDefault="00526EF9">
      <w:pPr>
        <w:pStyle w:val="Heading4"/>
        <w:divId w:val="607086025"/>
      </w:pPr>
      <w:r>
        <w:rPr>
          <w:color w:val="000000"/>
          <w:sz w:val="23"/>
          <w:szCs w:val="23"/>
        </w:rPr>
        <w:t>Adequate Yearly Progress Overall and by Criteria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42"/>
        <w:gridCol w:w="871"/>
        <w:gridCol w:w="939"/>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AYP Criteria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Made AYP Overall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API Criteria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bl>
    <w:p w:rsidR="00526EF9" w:rsidRDefault="00526EF9">
      <w:pPr>
        <w:divId w:val="607086025"/>
        <w:rPr>
          <w:color w:val="555555"/>
        </w:rPr>
      </w:pPr>
    </w:p>
    <w:p w:rsidR="00526EF9" w:rsidRDefault="00526EF9">
      <w:pPr>
        <w:pStyle w:val="Heading4"/>
        <w:divId w:val="607086025"/>
      </w:pPr>
      <w:r>
        <w:rPr>
          <w:color w:val="000000"/>
          <w:sz w:val="23"/>
          <w:szCs w:val="23"/>
        </w:rPr>
        <w:t>Federal Intervention Program (School Year 2011–12)</w:t>
      </w:r>
    </w:p>
    <w:p w:rsidR="00526EF9" w:rsidRDefault="00526EF9">
      <w:pPr>
        <w:divId w:val="607086025"/>
        <w:rPr>
          <w:color w:val="555555"/>
        </w:rPr>
      </w:pPr>
      <w:r>
        <w:rPr>
          <w:rFonts w:ascii="Verdana" w:hAnsi="Verdana"/>
          <w:color w:val="555555"/>
          <w:sz w:val="17"/>
          <w:szCs w:val="17"/>
        </w:rPr>
        <w:t xml:space="preserve">Schools and districts receiving federal Title I funding enter Program Improvement (PI) if they do not make AYP for two consecutive years in the same content area (ELA or mathematics) or on the same indicator (API or graduation rate). After entering PI, schools and districts advance to the next level of intervention with each additional year that they do not make AYP. For detailed information about PI identification, see the CDE </w:t>
      </w:r>
      <w:r>
        <w:rPr>
          <w:rFonts w:ascii="Verdana" w:hAnsi="Verdana"/>
          <w:i/>
          <w:iCs/>
          <w:color w:val="555555"/>
          <w:sz w:val="17"/>
          <w:szCs w:val="17"/>
        </w:rPr>
        <w:t>PI Status Determinations</w:t>
      </w:r>
      <w:r>
        <w:rPr>
          <w:rFonts w:ascii="Verdana" w:hAnsi="Verdana"/>
          <w:color w:val="555555"/>
          <w:sz w:val="17"/>
          <w:szCs w:val="17"/>
        </w:rPr>
        <w:t xml:space="preserve"> </w:t>
      </w:r>
      <w:r>
        <w:rPr>
          <w:rFonts w:ascii="Verdana" w:hAnsi="Verdana"/>
          <w:i/>
          <w:iCs/>
          <w:color w:val="555555"/>
          <w:sz w:val="17"/>
          <w:szCs w:val="17"/>
        </w:rPr>
        <w:t>Web</w:t>
      </w:r>
      <w:r>
        <w:rPr>
          <w:rFonts w:ascii="Verdana" w:hAnsi="Verdana"/>
          <w:color w:val="555555"/>
          <w:sz w:val="17"/>
          <w:szCs w:val="17"/>
        </w:rPr>
        <w:t xml:space="preserve"> page:</w:t>
      </w:r>
      <w:hyperlink r:id="rId17" w:history="1">
        <w:r>
          <w:rPr>
            <w:rStyle w:val="Hyperlink"/>
            <w:rFonts w:ascii="Verdana" w:hAnsi="Verdana"/>
            <w:color w:val="555555"/>
            <w:sz w:val="17"/>
            <w:szCs w:val="17"/>
          </w:rPr>
          <w:t xml:space="preserve"> http://www.cde.ca.gov/ta/ac/ay/tidetermine.asp</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96"/>
        <w:gridCol w:w="1102"/>
        <w:gridCol w:w="1102"/>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Program Improvement Status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First Year of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2011-2012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2008-2009</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Year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3</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38.9%</w:t>
            </w:r>
          </w:p>
        </w:tc>
      </w:tr>
    </w:tbl>
    <w:p w:rsidR="00526EF9" w:rsidRDefault="00526EF9">
      <w:pPr>
        <w:divId w:val="607086025"/>
        <w:rPr>
          <w:color w:val="555555"/>
        </w:rPr>
      </w:pPr>
      <w:r>
        <w:rPr>
          <w:rFonts w:ascii="Verdana" w:hAnsi="Verdana"/>
          <w:color w:val="555555"/>
          <w:sz w:val="17"/>
          <w:szCs w:val="17"/>
        </w:rPr>
        <w:t>Note: Cells shaded in black do not require data.</w:t>
      </w:r>
    </w:p>
    <w:p w:rsidR="00B90301" w:rsidRDefault="00B90301">
      <w:pPr>
        <w:pStyle w:val="Heading2"/>
        <w:divId w:val="607086025"/>
        <w:rPr>
          <w:color w:val="000000"/>
          <w:sz w:val="32"/>
          <w:szCs w:val="32"/>
        </w:rPr>
      </w:pPr>
    </w:p>
    <w:p w:rsidR="00526EF9" w:rsidRDefault="00526EF9">
      <w:pPr>
        <w:pStyle w:val="Heading2"/>
        <w:divId w:val="607086025"/>
      </w:pPr>
      <w:r>
        <w:rPr>
          <w:color w:val="000000"/>
          <w:sz w:val="32"/>
          <w:szCs w:val="32"/>
        </w:rPr>
        <w:t>XI. School Completion and Postsecondary Preparation</w:t>
      </w:r>
    </w:p>
    <w:p w:rsidR="00526EF9" w:rsidRDefault="00526EF9">
      <w:pPr>
        <w:pStyle w:val="Heading4"/>
        <w:divId w:val="607086025"/>
      </w:pPr>
      <w:r>
        <w:rPr>
          <w:color w:val="000000"/>
          <w:sz w:val="23"/>
          <w:szCs w:val="23"/>
        </w:rPr>
        <w:t>Admission Requirements for California’s Public Universities</w:t>
      </w:r>
    </w:p>
    <w:p w:rsidR="00526EF9" w:rsidRDefault="00526EF9">
      <w:pPr>
        <w:pStyle w:val="Heading4"/>
        <w:divId w:val="607086025"/>
      </w:pPr>
      <w:r>
        <w:rPr>
          <w:color w:val="000000"/>
          <w:sz w:val="23"/>
          <w:szCs w:val="23"/>
        </w:rPr>
        <w:t>University of California</w:t>
      </w:r>
    </w:p>
    <w:p w:rsidR="00526EF9" w:rsidRDefault="00526EF9">
      <w:pPr>
        <w:divId w:val="607086025"/>
        <w:rPr>
          <w:color w:val="555555"/>
        </w:rPr>
      </w:pPr>
      <w:r>
        <w:rPr>
          <w:rFonts w:ascii="Verdana" w:hAnsi="Verdana"/>
          <w:color w:val="555555"/>
          <w:sz w:val="17"/>
          <w:szCs w:val="17"/>
        </w:rPr>
        <w:t xml:space="preserve">Admission requirements for the University </w:t>
      </w:r>
      <w:proofErr w:type="gramStart"/>
      <w:r>
        <w:rPr>
          <w:rFonts w:ascii="Verdana" w:hAnsi="Verdana"/>
          <w:color w:val="555555"/>
          <w:sz w:val="17"/>
          <w:szCs w:val="17"/>
        </w:rPr>
        <w:t>of</w:t>
      </w:r>
      <w:proofErr w:type="gramEnd"/>
      <w:r>
        <w:rPr>
          <w:rFonts w:ascii="Verdana" w:hAnsi="Verdana"/>
          <w:color w:val="555555"/>
          <w:sz w:val="17"/>
          <w:szCs w:val="17"/>
        </w:rPr>
        <w:t xml:space="preserve"> California (UC) follow guidelines set forth in the Master Plan, which requires that the top one-eighth of the state’s high school graduates, as well as those transfer students who have successfully completed specified college course work, be eligible for admission to the UC. These requirements are designed to ensure that all eligible students are adequately prepared for University-level work.</w:t>
      </w:r>
      <w:r>
        <w:rPr>
          <w:color w:val="555555"/>
        </w:rPr>
        <w:br/>
      </w:r>
      <w:r>
        <w:rPr>
          <w:rFonts w:ascii="Verdana" w:hAnsi="Verdana"/>
          <w:color w:val="555555"/>
          <w:sz w:val="17"/>
          <w:szCs w:val="17"/>
        </w:rPr>
        <w:t xml:space="preserve">For general admissions requirements, please visit the </w:t>
      </w:r>
      <w:r>
        <w:rPr>
          <w:rFonts w:ascii="Verdana" w:hAnsi="Verdana"/>
          <w:i/>
          <w:iCs/>
          <w:color w:val="555555"/>
          <w:sz w:val="17"/>
          <w:szCs w:val="17"/>
        </w:rPr>
        <w:t xml:space="preserve">UC Admissions Information </w:t>
      </w:r>
      <w:r>
        <w:rPr>
          <w:rFonts w:ascii="Verdana" w:hAnsi="Verdana"/>
          <w:color w:val="555555"/>
          <w:sz w:val="17"/>
          <w:szCs w:val="17"/>
        </w:rPr>
        <w:t>Web page at</w:t>
      </w:r>
      <w:hyperlink r:id="rId18" w:history="1">
        <w:r>
          <w:rPr>
            <w:rStyle w:val="Hyperlink"/>
            <w:rFonts w:ascii="Verdana" w:hAnsi="Verdana"/>
            <w:color w:val="555555"/>
            <w:sz w:val="17"/>
            <w:szCs w:val="17"/>
          </w:rPr>
          <w:t xml:space="preserve"> http://www.universityofcalifornia.edu/admissions/</w:t>
        </w:r>
      </w:hyperlink>
      <w:r>
        <w:rPr>
          <w:rFonts w:ascii="Verdana" w:hAnsi="Verdana"/>
          <w:color w:val="555555"/>
          <w:sz w:val="17"/>
          <w:szCs w:val="17"/>
        </w:rPr>
        <w:t>. (Outside source)</w:t>
      </w:r>
    </w:p>
    <w:p w:rsidR="00526EF9" w:rsidRDefault="00526EF9">
      <w:pPr>
        <w:pStyle w:val="Heading4"/>
        <w:divId w:val="607086025"/>
      </w:pPr>
      <w:r>
        <w:rPr>
          <w:color w:val="000000"/>
          <w:sz w:val="23"/>
          <w:szCs w:val="23"/>
        </w:rPr>
        <w:lastRenderedPageBreak/>
        <w:t>California State University</w:t>
      </w:r>
    </w:p>
    <w:p w:rsidR="00526EF9" w:rsidRDefault="00526EF9">
      <w:pPr>
        <w:divId w:val="607086025"/>
        <w:rPr>
          <w:color w:val="555555"/>
        </w:rPr>
      </w:pPr>
      <w:r>
        <w:rPr>
          <w:rFonts w:ascii="Verdana" w:hAnsi="Verdana"/>
          <w:color w:val="555555"/>
          <w:sz w:val="17"/>
          <w:szCs w:val="17"/>
        </w:rPr>
        <w:t>Eligibility for admission to the California State University (CSU) is determined by three factors:</w:t>
      </w:r>
    </w:p>
    <w:p w:rsidR="00526EF9" w:rsidRDefault="00526EF9">
      <w:pPr>
        <w:numPr>
          <w:ilvl w:val="0"/>
          <w:numId w:val="5"/>
        </w:numPr>
        <w:spacing w:before="100" w:beforeAutospacing="1" w:after="100" w:afterAutospacing="1"/>
        <w:textAlignment w:val="baseline"/>
        <w:divId w:val="607086025"/>
        <w:rPr>
          <w:rFonts w:ascii="Arial" w:hAnsi="Arial" w:cs="Arial"/>
          <w:color w:val="000000"/>
          <w:sz w:val="23"/>
          <w:szCs w:val="23"/>
        </w:rPr>
      </w:pPr>
      <w:r>
        <w:rPr>
          <w:rFonts w:ascii="Verdana" w:hAnsi="Verdana" w:cs="Arial"/>
          <w:color w:val="555555"/>
          <w:sz w:val="17"/>
          <w:szCs w:val="17"/>
        </w:rPr>
        <w:t>Specific high school courses</w:t>
      </w:r>
    </w:p>
    <w:p w:rsidR="00526EF9" w:rsidRDefault="00526EF9">
      <w:pPr>
        <w:numPr>
          <w:ilvl w:val="0"/>
          <w:numId w:val="5"/>
        </w:numPr>
        <w:spacing w:before="100" w:beforeAutospacing="1" w:after="100" w:afterAutospacing="1"/>
        <w:textAlignment w:val="baseline"/>
        <w:divId w:val="607086025"/>
        <w:rPr>
          <w:rFonts w:ascii="Arial" w:hAnsi="Arial" w:cs="Arial"/>
          <w:color w:val="000000"/>
          <w:sz w:val="23"/>
          <w:szCs w:val="23"/>
        </w:rPr>
      </w:pPr>
      <w:r>
        <w:rPr>
          <w:rFonts w:ascii="Verdana" w:hAnsi="Verdana" w:cs="Arial"/>
          <w:color w:val="555555"/>
          <w:sz w:val="17"/>
          <w:szCs w:val="17"/>
        </w:rPr>
        <w:t>Grades in specified courses and test scores</w:t>
      </w:r>
    </w:p>
    <w:p w:rsidR="00526EF9" w:rsidRDefault="00526EF9">
      <w:pPr>
        <w:numPr>
          <w:ilvl w:val="0"/>
          <w:numId w:val="5"/>
        </w:numPr>
        <w:spacing w:before="100" w:beforeAutospacing="1" w:after="100" w:afterAutospacing="1"/>
        <w:textAlignment w:val="baseline"/>
        <w:divId w:val="607086025"/>
        <w:rPr>
          <w:rFonts w:ascii="Arial" w:hAnsi="Arial" w:cs="Arial"/>
          <w:color w:val="000000"/>
          <w:sz w:val="23"/>
          <w:szCs w:val="23"/>
        </w:rPr>
      </w:pPr>
      <w:r>
        <w:rPr>
          <w:rFonts w:ascii="Verdana" w:hAnsi="Verdana" w:cs="Arial"/>
          <w:color w:val="555555"/>
          <w:sz w:val="17"/>
          <w:szCs w:val="17"/>
        </w:rPr>
        <w:t>Graduation from high school</w:t>
      </w:r>
    </w:p>
    <w:p w:rsidR="00526EF9" w:rsidRDefault="00526EF9">
      <w:pPr>
        <w:divId w:val="607086025"/>
        <w:rPr>
          <w:color w:val="555555"/>
        </w:rPr>
      </w:pPr>
      <w:r>
        <w:rPr>
          <w:color w:val="555555"/>
        </w:rPr>
        <w:br/>
      </w:r>
      <w:r>
        <w:rPr>
          <w:rFonts w:ascii="Verdana" w:hAnsi="Verdana"/>
          <w:color w:val="555555"/>
          <w:sz w:val="17"/>
          <w:szCs w:val="17"/>
        </w:rPr>
        <w:t xml:space="preserve">Some campuses have higher standards for particular majors or students who live outside the local campus area. Because of the number of students who apply, a few campuses have higher standards (supplementary admission criteria) for all applicants. Most CSU campuses have local admission guarantee policies for students who graduate or transfer from high schools and colleges that are historically served by a CSU campus in that region. For admission, application, and fee information see the </w:t>
      </w:r>
      <w:r>
        <w:rPr>
          <w:rFonts w:ascii="Verdana" w:hAnsi="Verdana"/>
          <w:i/>
          <w:iCs/>
          <w:color w:val="555555"/>
          <w:sz w:val="17"/>
          <w:szCs w:val="17"/>
        </w:rPr>
        <w:t>CSU</w:t>
      </w:r>
      <w:r>
        <w:rPr>
          <w:rFonts w:ascii="Verdana" w:hAnsi="Verdana"/>
          <w:color w:val="555555"/>
          <w:sz w:val="17"/>
          <w:szCs w:val="17"/>
        </w:rPr>
        <w:t xml:space="preserve"> </w:t>
      </w:r>
      <w:r>
        <w:rPr>
          <w:rFonts w:ascii="Verdana" w:hAnsi="Verdana"/>
          <w:i/>
          <w:iCs/>
          <w:color w:val="555555"/>
          <w:sz w:val="17"/>
          <w:szCs w:val="17"/>
        </w:rPr>
        <w:t>Web page at</w:t>
      </w:r>
      <w:hyperlink r:id="rId19"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http://www.calstate.edu/admission/admission.shtml</w:t>
        </w:r>
      </w:hyperlink>
      <w:r>
        <w:rPr>
          <w:rFonts w:ascii="Verdana" w:hAnsi="Verdana"/>
          <w:color w:val="555555"/>
          <w:sz w:val="17"/>
          <w:szCs w:val="17"/>
        </w:rPr>
        <w:t>. (Outside source)</w:t>
      </w:r>
    </w:p>
    <w:p w:rsidR="00526EF9" w:rsidRDefault="00526EF9">
      <w:pPr>
        <w:pStyle w:val="Heading4"/>
        <w:divId w:val="607086025"/>
      </w:pPr>
      <w:r>
        <w:rPr>
          <w:color w:val="000000"/>
          <w:sz w:val="23"/>
          <w:szCs w:val="23"/>
        </w:rPr>
        <w:t>Dropout Rate and Graduation Rate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37"/>
        <w:gridCol w:w="980"/>
        <w:gridCol w:w="981"/>
        <w:gridCol w:w="981"/>
        <w:gridCol w:w="981"/>
        <w:gridCol w:w="981"/>
        <w:gridCol w:w="981"/>
        <w:gridCol w:w="981"/>
        <w:gridCol w:w="981"/>
        <w:gridCol w:w="981"/>
      </w:tblGrid>
      <w:tr w:rsidR="00526EF9">
        <w:trPr>
          <w:divId w:val="60708602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rPr>
                <w:sz w:val="2"/>
              </w:rPr>
            </w:pPr>
            <w:r w:rsidRPr="00A73F70">
              <w:rPr>
                <w:rFonts w:ascii="Verdana" w:hAnsi="Verdana"/>
                <w:b/>
                <w:bCs/>
                <w:color w:val="FFFFFF"/>
                <w:sz w:val="18"/>
                <w:szCs w:val="18"/>
                <w:shd w:val="clear" w:color="auto" w:fill="1A4678"/>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rPr>
                <w:sz w:val="2"/>
              </w:rPr>
            </w:pPr>
            <w:r w:rsidRPr="00A73F70">
              <w:rPr>
                <w:rFonts w:ascii="Verdana" w:hAnsi="Verdana"/>
                <w:b/>
                <w:bCs/>
                <w:color w:val="FFFFFF"/>
                <w:sz w:val="18"/>
                <w:szCs w:val="18"/>
                <w:shd w:val="clear" w:color="auto" w:fill="1A4678"/>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rPr>
                <w:sz w:val="2"/>
              </w:rPr>
            </w:pPr>
            <w:r w:rsidRPr="00A73F70">
              <w:rPr>
                <w:rFonts w:ascii="Verdana" w:hAnsi="Verdana"/>
                <w:b/>
                <w:bCs/>
                <w:color w:val="FFFFFF"/>
                <w:sz w:val="18"/>
                <w:szCs w:val="18"/>
                <w:shd w:val="clear" w:color="auto" w:fill="1A4678"/>
              </w:rPr>
              <w:t>State</w:t>
            </w:r>
          </w:p>
        </w:tc>
      </w:tr>
      <w:tr w:rsidR="00526EF9">
        <w:trPr>
          <w:divId w:val="6070860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6EF9" w:rsidRDefault="00526EF9"/>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Dropout Rate (1-year)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80.44</w:t>
            </w:r>
          </w:p>
        </w:tc>
      </w:tr>
    </w:tbl>
    <w:p w:rsidR="00526EF9" w:rsidRDefault="00526EF9">
      <w:pPr>
        <w:divId w:val="607086025"/>
        <w:rPr>
          <w:color w:val="555555"/>
        </w:rPr>
      </w:pPr>
      <w:r>
        <w:rPr>
          <w:color w:val="555555"/>
        </w:rPr>
        <w:br/>
      </w:r>
      <w:r>
        <w:rPr>
          <w:rFonts w:ascii="Verdana" w:hAnsi="Verdana"/>
          <w:color w:val="555555"/>
          <w:sz w:val="17"/>
          <w:szCs w:val="17"/>
        </w:rPr>
        <w:t>Note: The National Center for Education Statistics graduation rate as reported in AYP is provided in this table.</w:t>
      </w:r>
    </w:p>
    <w:p w:rsidR="00526EF9" w:rsidRDefault="00526EF9">
      <w:pPr>
        <w:pStyle w:val="Heading4"/>
        <w:divId w:val="607086025"/>
      </w:pPr>
      <w:r>
        <w:rPr>
          <w:color w:val="000000"/>
          <w:sz w:val="23"/>
          <w:szCs w:val="23"/>
        </w:rPr>
        <w:t>Completion of High School Graduation Requirements</w:t>
      </w:r>
    </w:p>
    <w:p w:rsidR="00526EF9" w:rsidRDefault="00526EF9">
      <w:pPr>
        <w:divId w:val="607086025"/>
        <w:rPr>
          <w:color w:val="555555"/>
        </w:rPr>
      </w:pPr>
      <w:r>
        <w:rPr>
          <w:rFonts w:ascii="Verdana" w:hAnsi="Verdana"/>
          <w:color w:val="555555"/>
          <w:sz w:val="17"/>
          <w:szCs w:val="17"/>
        </w:rPr>
        <w:t>This table displays, by student group, the percent of students who began the 2010–11 school year in grade twelve and were a part of the school’s most recent graduating class, meeting all state and local graduation requirements for grade twelve completion, including having passed both the ELA and mathematics portions of the CAHSEE or received a local waiver or state exemption.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916"/>
        <w:gridCol w:w="988"/>
        <w:gridCol w:w="766"/>
      </w:tblGrid>
      <w:tr w:rsidR="00526EF9">
        <w:trPr>
          <w:divId w:val="60708602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rPr>
                <w:sz w:val="2"/>
              </w:rPr>
            </w:pPr>
            <w:r w:rsidRPr="00A73F70">
              <w:rPr>
                <w:rFonts w:ascii="Verdana" w:hAnsi="Verdana"/>
                <w:b/>
                <w:bCs/>
                <w:color w:val="FFFFFF"/>
                <w:sz w:val="18"/>
                <w:szCs w:val="18"/>
                <w:shd w:val="clear" w:color="auto" w:fill="1A4678"/>
              </w:rPr>
              <w:t>Graduating Class of 2011</w:t>
            </w:r>
          </w:p>
        </w:tc>
      </w:tr>
      <w:tr w:rsidR="00526EF9">
        <w:trPr>
          <w:divId w:val="6070860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6EF9" w:rsidRDefault="00526EF9"/>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District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bl>
    <w:p w:rsidR="00526EF9" w:rsidRDefault="00526EF9">
      <w:pPr>
        <w:divId w:val="607086025"/>
        <w:rPr>
          <w:color w:val="555555"/>
        </w:rPr>
      </w:pPr>
      <w:r>
        <w:rPr>
          <w:color w:val="555555"/>
        </w:rPr>
        <w:br/>
      </w:r>
      <w:r>
        <w:rPr>
          <w:rFonts w:ascii="Verdana" w:hAnsi="Verdana"/>
          <w:color w:val="555555"/>
          <w:sz w:val="17"/>
          <w:szCs w:val="17"/>
        </w:rPr>
        <w:t>Note: “N/D” means that no data were available to the CDE or LEA to report.</w:t>
      </w:r>
    </w:p>
    <w:p w:rsidR="00526EF9" w:rsidRDefault="00526EF9">
      <w:pPr>
        <w:divId w:val="607086025"/>
        <w:rPr>
          <w:color w:val="555555"/>
        </w:rPr>
      </w:pPr>
    </w:p>
    <w:p w:rsidR="00B90301" w:rsidRDefault="00B90301">
      <w:pPr>
        <w:divId w:val="607086025"/>
        <w:rPr>
          <w:color w:val="555555"/>
        </w:rPr>
      </w:pPr>
    </w:p>
    <w:p w:rsidR="00B90301" w:rsidRDefault="00B90301">
      <w:pPr>
        <w:divId w:val="607086025"/>
        <w:rPr>
          <w:color w:val="555555"/>
        </w:rPr>
      </w:pPr>
    </w:p>
    <w:p w:rsidR="00B90301" w:rsidRDefault="00B90301">
      <w:pPr>
        <w:divId w:val="607086025"/>
        <w:rPr>
          <w:color w:val="555555"/>
        </w:rPr>
      </w:pPr>
    </w:p>
    <w:p w:rsidR="00526EF9" w:rsidRDefault="00526EF9">
      <w:pPr>
        <w:pStyle w:val="Heading4"/>
        <w:divId w:val="607086025"/>
      </w:pPr>
      <w:r>
        <w:rPr>
          <w:color w:val="000000"/>
          <w:sz w:val="23"/>
          <w:szCs w:val="23"/>
        </w:rPr>
        <w:lastRenderedPageBreak/>
        <w:t>Career Technical Education Participation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4"/>
        <w:gridCol w:w="2496"/>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CTE Program Participation</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pupils participating in CTE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pupils completing a CTE program and earning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CTE courses sequenced or articulated between the school and institutions of postsecondary education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bl>
    <w:p w:rsidR="00526EF9" w:rsidRDefault="00526EF9">
      <w:pPr>
        <w:pStyle w:val="Heading4"/>
        <w:divId w:val="607086025"/>
      </w:pPr>
      <w:r>
        <w:rPr>
          <w:color w:val="000000"/>
          <w:sz w:val="23"/>
          <w:szCs w:val="23"/>
        </w:rPr>
        <w:t>Courses for University of California and/or California State University Admission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07"/>
        <w:gridCol w:w="977"/>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UC/CSU Course 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2010-11 Students Enrolled in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8.1%</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2009-10 Graduates Who Completed All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spacing w:line="0" w:lineRule="atLeast"/>
            </w:pPr>
            <w:r w:rsidRPr="00A73F70">
              <w:rPr>
                <w:rFonts w:ascii="Verdana" w:hAnsi="Verdana"/>
                <w:color w:val="666699"/>
                <w:sz w:val="17"/>
                <w:szCs w:val="17"/>
              </w:rPr>
              <w:t>0.0%</w:t>
            </w:r>
          </w:p>
        </w:tc>
      </w:tr>
    </w:tbl>
    <w:p w:rsidR="00526EF9" w:rsidRDefault="00526EF9">
      <w:pPr>
        <w:pStyle w:val="Heading4"/>
        <w:divId w:val="607086025"/>
      </w:pPr>
      <w:r>
        <w:rPr>
          <w:color w:val="000000"/>
          <w:sz w:val="23"/>
          <w:szCs w:val="23"/>
        </w:rPr>
        <w:t>Advanced Placement Courses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59"/>
        <w:gridCol w:w="3416"/>
        <w:gridCol w:w="3688"/>
      </w:tblGrid>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AP Courses Offered*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26EF9" w:rsidRDefault="00526EF9">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Students In AP Courses</w:t>
            </w: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Computer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Fine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26EF9" w:rsidRDefault="00526EF9">
            <w:pPr>
              <w:rPr>
                <w:sz w:val="20"/>
                <w:szCs w:val="20"/>
              </w:rPr>
            </w:pPr>
          </w:p>
        </w:tc>
      </w:tr>
      <w:tr w:rsidR="00526EF9">
        <w:trPr>
          <w:divId w:val="60708602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courses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26EF9" w:rsidRDefault="00526EF9">
            <w:pPr>
              <w:rPr>
                <w:sz w:val="20"/>
                <w:szCs w:val="20"/>
              </w:rPr>
            </w:pPr>
          </w:p>
        </w:tc>
      </w:tr>
    </w:tbl>
    <w:p w:rsidR="00526EF9" w:rsidRDefault="00526EF9">
      <w:pPr>
        <w:divId w:val="607086025"/>
        <w:rPr>
          <w:color w:val="555555"/>
        </w:rPr>
      </w:pPr>
      <w:r>
        <w:rPr>
          <w:rFonts w:ascii="Verdana" w:hAnsi="Verdana"/>
          <w:color w:val="555555"/>
          <w:sz w:val="17"/>
          <w:szCs w:val="17"/>
        </w:rPr>
        <w:t>Note: Cells shaded in black do not require data. *Where there are student course enrollments.</w:t>
      </w:r>
    </w:p>
    <w:p w:rsidR="00526EF9" w:rsidRDefault="00526EF9">
      <w:pPr>
        <w:pStyle w:val="Heading2"/>
        <w:divId w:val="607086025"/>
      </w:pPr>
      <w:r>
        <w:rPr>
          <w:color w:val="000000"/>
          <w:sz w:val="32"/>
          <w:szCs w:val="32"/>
        </w:rPr>
        <w:t>XII. Instructional Planning and Scheduling</w:t>
      </w:r>
    </w:p>
    <w:p w:rsidR="00526EF9" w:rsidRDefault="00526EF9">
      <w:pPr>
        <w:pStyle w:val="Heading4"/>
        <w:divId w:val="607086025"/>
      </w:pPr>
      <w:r>
        <w:rPr>
          <w:color w:val="000000"/>
          <w:sz w:val="23"/>
          <w:szCs w:val="23"/>
        </w:rPr>
        <w:t>Professional Development</w:t>
      </w:r>
    </w:p>
    <w:p w:rsidR="00526EF9" w:rsidRDefault="00526EF9">
      <w:pPr>
        <w:divId w:val="607086025"/>
        <w:rPr>
          <w:color w:val="555555"/>
        </w:rPr>
      </w:pPr>
      <w:r>
        <w:rPr>
          <w:rFonts w:ascii="Verdana" w:hAnsi="Verdana"/>
          <w:color w:val="555555"/>
          <w:sz w:val="17"/>
          <w:szCs w:val="17"/>
        </w:rPr>
        <w:t>This section provides information on the annual number of school days dedicated to staff development for the most recent three-year period.</w:t>
      </w:r>
    </w:p>
    <w:tbl>
      <w:tblPr>
        <w:tblW w:w="0" w:type="auto"/>
        <w:tblLook w:val="04A0"/>
      </w:tblPr>
      <w:tblGrid>
        <w:gridCol w:w="10920"/>
      </w:tblGrid>
      <w:tr w:rsidR="00526EF9">
        <w:trPr>
          <w:divId w:val="607086025"/>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526EF9" w:rsidRDefault="00526EF9">
            <w:pPr>
              <w:rPr>
                <w:rFonts w:ascii="Arial" w:hAnsi="Arial" w:cs="Arial"/>
                <w:color w:val="000000"/>
                <w:sz w:val="20"/>
                <w:szCs w:val="20"/>
              </w:rPr>
            </w:pPr>
            <w:r w:rsidRPr="00A73F70">
              <w:rPr>
                <w:rFonts w:ascii="Arial" w:hAnsi="Arial" w:cs="Arial"/>
                <w:sz w:val="20"/>
                <w:szCs w:val="20"/>
              </w:rPr>
              <w:t xml:space="preserve">Every school in the Alhambra Unified School District has always been and continues to be committed to improvement in student learning.  Teachers are actively participating in standards-based professional development, assessment and strategies to help all students meet state standards.  </w:t>
            </w:r>
            <w:r w:rsidRPr="00A73F70">
              <w:rPr>
                <w:rFonts w:ascii="Arial" w:hAnsi="Arial" w:cs="Arial"/>
                <w:color w:val="000000"/>
                <w:sz w:val="20"/>
                <w:szCs w:val="20"/>
              </w:rPr>
              <w:t xml:space="preserve">Alhambra Unified School District offers staff development opportunities to teachers, administrators, and instructional aides.  Staff members build teaching skills and concepts through participation in conferences, workshops and collaboration meetings throughout the year.  </w:t>
            </w:r>
          </w:p>
          <w:p w:rsidR="00526EF9" w:rsidRPr="00A73F70" w:rsidRDefault="00526EF9">
            <w:pPr>
              <w:rPr>
                <w:rFonts w:ascii="Arial" w:hAnsi="Arial" w:cs="Arial"/>
                <w:color w:val="000000"/>
                <w:sz w:val="20"/>
                <w:szCs w:val="20"/>
              </w:rPr>
            </w:pPr>
          </w:p>
          <w:p w:rsidR="00526EF9" w:rsidRPr="00A73F70" w:rsidRDefault="00526EF9">
            <w:pPr>
              <w:rPr>
                <w:rFonts w:ascii="Arial" w:hAnsi="Arial" w:cs="Arial"/>
                <w:color w:val="000000"/>
                <w:sz w:val="20"/>
                <w:szCs w:val="20"/>
              </w:rPr>
            </w:pPr>
            <w:r w:rsidRPr="00A73F70">
              <w:rPr>
                <w:rFonts w:ascii="Arial" w:hAnsi="Arial" w:cs="Arial"/>
                <w:color w:val="000000"/>
                <w:sz w:val="20"/>
                <w:szCs w:val="20"/>
              </w:rPr>
              <w:t xml:space="preserve">The District offers three staff development days where teachers participated in a broad-based variety of professional growth sessions in standards-based curriculum and instructional strategies.  The District’s Professional Development Committee, consisting of administrators and teachers, meets to plan and develop the staff development for the District.  Using student achievement data and results from surveys, the Committee identifies training opportunities that are aligned with the goals of the District and that will improve the learning of all students.  </w:t>
            </w:r>
          </w:p>
          <w:p w:rsidR="00526EF9" w:rsidRPr="00A73F70" w:rsidRDefault="00526EF9">
            <w:pPr>
              <w:rPr>
                <w:rFonts w:ascii="Arial" w:hAnsi="Arial" w:cs="Arial"/>
                <w:color w:val="000000"/>
                <w:sz w:val="20"/>
                <w:szCs w:val="20"/>
              </w:rPr>
            </w:pPr>
          </w:p>
          <w:p w:rsidR="00526EF9" w:rsidRPr="00A73F70" w:rsidRDefault="00526EF9">
            <w:pPr>
              <w:rPr>
                <w:rFonts w:ascii="Arial" w:hAnsi="Arial" w:cs="Arial"/>
                <w:sz w:val="20"/>
                <w:szCs w:val="20"/>
              </w:rPr>
            </w:pPr>
            <w:r w:rsidRPr="00A73F70">
              <w:rPr>
                <w:rFonts w:ascii="Arial" w:hAnsi="Arial" w:cs="Arial"/>
                <w:color w:val="000000"/>
                <w:sz w:val="20"/>
                <w:szCs w:val="20"/>
              </w:rPr>
              <w:t>Throughout the school year, professional development on district initiatives is provided to teachers through the use of substitutes.  This includes:  Thinking Maps, GATE Level II &amp; III training, technology, problem solving.</w:t>
            </w:r>
          </w:p>
          <w:p w:rsidR="00526EF9" w:rsidRPr="00A73F70" w:rsidRDefault="00526EF9">
            <w:pPr>
              <w:rPr>
                <w:rFonts w:ascii="Arial" w:hAnsi="Arial" w:cs="Arial"/>
                <w:color w:val="000000"/>
                <w:sz w:val="20"/>
                <w:szCs w:val="20"/>
              </w:rPr>
            </w:pPr>
          </w:p>
          <w:p w:rsidR="00526EF9" w:rsidRDefault="00526EF9">
            <w:pPr>
              <w:rPr>
                <w:rFonts w:ascii="Arial" w:hAnsi="Arial" w:cs="Arial"/>
                <w:color w:val="000000"/>
                <w:sz w:val="20"/>
                <w:szCs w:val="20"/>
              </w:rPr>
            </w:pPr>
            <w:r w:rsidRPr="00A73F70">
              <w:rPr>
                <w:rFonts w:ascii="Arial" w:hAnsi="Arial" w:cs="Arial"/>
                <w:color w:val="000000"/>
                <w:sz w:val="20"/>
                <w:szCs w:val="20"/>
              </w:rPr>
              <w:t>The Alhambra Unified School District offers several programs to support new and veteran teachers in their classroom skills and to ensure continued professional development.  Beginning Teacher Support and Assessment (BTSA) Induction provides new teachers with assistance and support over a two-year period.  The District’s Peer Assistance and Review (PAR) program is designed to assist both veteran and new teachers by providing in-class support.</w:t>
            </w:r>
          </w:p>
        </w:tc>
      </w:tr>
    </w:tbl>
    <w:p w:rsidR="00526EF9" w:rsidRDefault="00526EF9">
      <w:pPr>
        <w:divId w:val="607086025"/>
        <w:rPr>
          <w:color w:val="555555"/>
          <w:szCs w:val="16"/>
        </w:rPr>
      </w:pPr>
    </w:p>
    <w:sectPr w:rsidR="00526EF9">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07D35"/>
    <w:multiLevelType w:val="multilevel"/>
    <w:tmpl w:val="7E4ED85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ACC76B0"/>
    <w:multiLevelType w:val="multilevel"/>
    <w:tmpl w:val="1244F87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29816890"/>
    <w:multiLevelType w:val="multilevel"/>
    <w:tmpl w:val="30127FE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3374158A"/>
    <w:multiLevelType w:val="hybridMultilevel"/>
    <w:tmpl w:val="382EA478"/>
    <w:lvl w:ilvl="0" w:tplc="00010409">
      <w:start w:val="1"/>
      <w:numFmt w:val="bullet"/>
      <w:lvlText w:val=""/>
      <w:lvlJc w:val="left"/>
      <w:pPr>
        <w:tabs>
          <w:tab w:val="num" w:pos="720"/>
        </w:tabs>
        <w:ind w:left="720" w:hanging="360"/>
      </w:pPr>
      <w:rPr>
        <w:rFonts w:ascii="Symbol" w:hAnsi="Symbol" w:hint="default"/>
      </w:rPr>
    </w:lvl>
    <w:lvl w:ilvl="1" w:tplc="00030409">
      <w:start w:val="1"/>
      <w:numFmt w:val="decimal"/>
      <w:lvlText w:val="%2."/>
      <w:lvlJc w:val="left"/>
      <w:pPr>
        <w:tabs>
          <w:tab w:val="num" w:pos="1440"/>
        </w:tabs>
        <w:ind w:left="1440" w:hanging="360"/>
      </w:pPr>
    </w:lvl>
    <w:lvl w:ilvl="2" w:tplc="00050409">
      <w:start w:val="1"/>
      <w:numFmt w:val="decimal"/>
      <w:lvlText w:val="%3."/>
      <w:lvlJc w:val="left"/>
      <w:pPr>
        <w:tabs>
          <w:tab w:val="num" w:pos="2160"/>
        </w:tabs>
        <w:ind w:left="2160" w:hanging="360"/>
      </w:pPr>
    </w:lvl>
    <w:lvl w:ilvl="3" w:tplc="00010409">
      <w:start w:val="1"/>
      <w:numFmt w:val="decimal"/>
      <w:lvlText w:val="%4."/>
      <w:lvlJc w:val="left"/>
      <w:pPr>
        <w:tabs>
          <w:tab w:val="num" w:pos="2880"/>
        </w:tabs>
        <w:ind w:left="2880" w:hanging="360"/>
      </w:pPr>
    </w:lvl>
    <w:lvl w:ilvl="4" w:tplc="00030409">
      <w:start w:val="1"/>
      <w:numFmt w:val="decimal"/>
      <w:lvlText w:val="%5."/>
      <w:lvlJc w:val="left"/>
      <w:pPr>
        <w:tabs>
          <w:tab w:val="num" w:pos="3600"/>
        </w:tabs>
        <w:ind w:left="3600" w:hanging="360"/>
      </w:pPr>
    </w:lvl>
    <w:lvl w:ilvl="5" w:tplc="00050409">
      <w:start w:val="1"/>
      <w:numFmt w:val="decimal"/>
      <w:lvlText w:val="%6."/>
      <w:lvlJc w:val="left"/>
      <w:pPr>
        <w:tabs>
          <w:tab w:val="num" w:pos="4320"/>
        </w:tabs>
        <w:ind w:left="4320" w:hanging="360"/>
      </w:pPr>
    </w:lvl>
    <w:lvl w:ilvl="6" w:tplc="00010409">
      <w:start w:val="1"/>
      <w:numFmt w:val="decimal"/>
      <w:lvlText w:val="%7."/>
      <w:lvlJc w:val="left"/>
      <w:pPr>
        <w:tabs>
          <w:tab w:val="num" w:pos="5040"/>
        </w:tabs>
        <w:ind w:left="5040" w:hanging="360"/>
      </w:pPr>
    </w:lvl>
    <w:lvl w:ilvl="7" w:tplc="00030409">
      <w:start w:val="1"/>
      <w:numFmt w:val="decimal"/>
      <w:lvlText w:val="%8."/>
      <w:lvlJc w:val="left"/>
      <w:pPr>
        <w:tabs>
          <w:tab w:val="num" w:pos="5760"/>
        </w:tabs>
        <w:ind w:left="5760" w:hanging="360"/>
      </w:pPr>
    </w:lvl>
    <w:lvl w:ilvl="8" w:tplc="00050409">
      <w:start w:val="1"/>
      <w:numFmt w:val="decimal"/>
      <w:lvlText w:val="%9."/>
      <w:lvlJc w:val="left"/>
      <w:pPr>
        <w:tabs>
          <w:tab w:val="num" w:pos="6480"/>
        </w:tabs>
        <w:ind w:left="6480" w:hanging="360"/>
      </w:pPr>
    </w:lvl>
  </w:abstractNum>
  <w:abstractNum w:abstractNumId="4">
    <w:nsid w:val="7DA45365"/>
    <w:multiLevelType w:val="multilevel"/>
    <w:tmpl w:val="40F66C3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92"/>
  <w:proofState w:grammar="clean"/>
  <w:attachedTemplate r:id="rId1"/>
  <w:defaultTabStop w:val="720"/>
  <w:drawingGridHorizontalSpacing w:val="120"/>
  <w:displayHorizontalDrawingGridEvery w:val="2"/>
  <w:noPunctuationKerning/>
  <w:characterSpacingControl w:val="doNotCompress"/>
  <w:compat/>
  <w:rsids>
    <w:rsidRoot w:val="00B90301"/>
    <w:rsid w:val="00526EF9"/>
    <w:rsid w:val="007446D8"/>
    <w:rsid w:val="00A73F70"/>
    <w:rsid w:val="00B903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pPr>
      <w:spacing w:line="240" w:lineRule="atLeast"/>
      <w:outlineLvl w:val="0"/>
    </w:pPr>
    <w:rPr>
      <w:rFonts w:ascii="Arial" w:hAnsi="Arial" w:cs="Arial"/>
      <w:b/>
      <w:bCs/>
      <w:color w:val="1A4678"/>
      <w:kern w:val="36"/>
      <w:sz w:val="72"/>
      <w:szCs w:val="72"/>
    </w:rPr>
  </w:style>
  <w:style w:type="paragraph" w:styleId="Heading2">
    <w:name w:val="heading 2"/>
    <w:basedOn w:val="Normal"/>
    <w:link w:val="Heading2Char"/>
    <w:uiPriority w:val="9"/>
    <w:qFormat/>
    <w:pPr>
      <w:spacing w:line="240" w:lineRule="atLeast"/>
      <w:outlineLvl w:val="1"/>
    </w:pPr>
    <w:rPr>
      <w:rFonts w:ascii="Arial" w:hAnsi="Arial" w:cs="Arial"/>
      <w:b/>
      <w:bCs/>
      <w:color w:val="1A4678"/>
      <w:sz w:val="48"/>
      <w:szCs w:val="48"/>
    </w:rPr>
  </w:style>
  <w:style w:type="paragraph" w:styleId="Heading3">
    <w:name w:val="heading 3"/>
    <w:basedOn w:val="Normal"/>
    <w:link w:val="Heading3Char"/>
    <w:uiPriority w:val="9"/>
    <w:qFormat/>
    <w:pPr>
      <w:spacing w:before="300" w:after="150" w:line="264" w:lineRule="atLeast"/>
      <w:outlineLvl w:val="2"/>
    </w:pPr>
    <w:rPr>
      <w:rFonts w:ascii="Arial" w:hAnsi="Arial" w:cs="Arial"/>
      <w:b/>
      <w:bCs/>
      <w:color w:val="1A4678"/>
      <w:sz w:val="43"/>
      <w:szCs w:val="43"/>
    </w:rPr>
  </w:style>
  <w:style w:type="paragraph" w:styleId="Heading4">
    <w:name w:val="heading 4"/>
    <w:basedOn w:val="Normal"/>
    <w:link w:val="Heading4Char"/>
    <w:uiPriority w:val="9"/>
    <w:qFormat/>
    <w:pPr>
      <w:spacing w:before="225" w:after="150" w:line="336" w:lineRule="atLeast"/>
      <w:outlineLvl w:val="3"/>
    </w:pPr>
    <w:rPr>
      <w:rFonts w:ascii="Arial" w:hAnsi="Arial" w:cs="Arial"/>
      <w:b/>
      <w:bCs/>
      <w:color w:val="6E6E6E"/>
      <w:sz w:val="31"/>
      <w:szCs w:val="31"/>
    </w:rPr>
  </w:style>
  <w:style w:type="paragraph" w:styleId="Heading5">
    <w:name w:val="heading 5"/>
    <w:basedOn w:val="Normal"/>
    <w:link w:val="Heading5Char"/>
    <w:uiPriority w:val="9"/>
    <w:qFormat/>
    <w:pPr>
      <w:spacing w:before="100" w:beforeAutospacing="1" w:after="100" w:afterAutospacing="1" w:line="336" w:lineRule="atLeast"/>
      <w:outlineLvl w:val="4"/>
    </w:pPr>
    <w:rPr>
      <w:rFonts w:ascii="Arial" w:hAnsi="Arial" w:cs="Arial"/>
      <w:i/>
      <w:iCs/>
      <w:color w:val="6E6E6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1Char">
    <w:name w:val="Heading 1 Char"/>
    <w:basedOn w:val="DefaultParagraphFont"/>
    <w:link w:val="Heading1"/>
    <w:uiPriority w:val="9"/>
    <w:locked/>
    <w:rPr>
      <w:rFonts w:ascii="Cambria" w:eastAsia="Times New Roman" w:hAnsi="Cambria" w:cs="Times New Roman" w:hint="default"/>
      <w:b/>
      <w:bCs/>
      <w:color w:val="365F91"/>
      <w:sz w:val="28"/>
      <w:szCs w:val="28"/>
    </w:rPr>
  </w:style>
  <w:style w:type="character" w:customStyle="1" w:styleId="Heading2Char">
    <w:name w:val="Heading 2 Char"/>
    <w:basedOn w:val="DefaultParagraphFont"/>
    <w:link w:val="Heading2"/>
    <w:uiPriority w:val="9"/>
    <w:locked/>
    <w:rPr>
      <w:rFonts w:ascii="Cambria" w:eastAsia="Times New Roman" w:hAnsi="Cambria" w:cs="Times New Roman" w:hint="default"/>
      <w:b/>
      <w:bCs/>
      <w:color w:val="4F81BD"/>
      <w:sz w:val="26"/>
      <w:szCs w:val="26"/>
    </w:rPr>
  </w:style>
  <w:style w:type="character" w:customStyle="1" w:styleId="Heading3Char">
    <w:name w:val="Heading 3 Char"/>
    <w:basedOn w:val="DefaultParagraphFont"/>
    <w:link w:val="Heading3"/>
    <w:uiPriority w:val="9"/>
    <w:locked/>
    <w:rPr>
      <w:rFonts w:ascii="Cambria" w:eastAsia="Times New Roman" w:hAnsi="Cambria" w:cs="Times New Roman" w:hint="default"/>
      <w:b/>
      <w:bCs/>
      <w:color w:val="4F81BD"/>
      <w:sz w:val="24"/>
      <w:szCs w:val="24"/>
    </w:rPr>
  </w:style>
  <w:style w:type="character" w:customStyle="1" w:styleId="Heading4Char">
    <w:name w:val="Heading 4 Char"/>
    <w:basedOn w:val="DefaultParagraphFont"/>
    <w:link w:val="Heading4"/>
    <w:uiPriority w:val="9"/>
    <w:locked/>
    <w:rPr>
      <w:rFonts w:ascii="Cambria" w:eastAsia="Times New Roman" w:hAnsi="Cambria" w:cs="Times New Roman" w:hint="default"/>
      <w:b/>
      <w:bCs/>
      <w:i/>
      <w:iCs/>
      <w:color w:val="4F81BD"/>
      <w:sz w:val="24"/>
      <w:szCs w:val="24"/>
    </w:rPr>
  </w:style>
  <w:style w:type="character" w:customStyle="1" w:styleId="Heading5Char">
    <w:name w:val="Heading 5 Char"/>
    <w:basedOn w:val="DefaultParagraphFont"/>
    <w:link w:val="Heading5"/>
    <w:uiPriority w:val="9"/>
    <w:semiHidden/>
    <w:locked/>
    <w:rPr>
      <w:rFonts w:ascii="Cambria" w:eastAsia="Times New Roman" w:hAnsi="Cambria" w:cs="Times New Roman" w:hint="default"/>
      <w:color w:val="243F60"/>
      <w:sz w:val="24"/>
      <w:szCs w:val="24"/>
    </w:rPr>
  </w:style>
  <w:style w:type="paragraph" w:styleId="NormalWeb">
    <w:name w:val="Normal (Web)"/>
    <w:basedOn w:val="Normal"/>
    <w:uiPriority w:val="99"/>
    <w:unhideWhenUsed/>
    <w:pPr>
      <w:spacing w:before="100" w:beforeAutospacing="1" w:after="100" w:afterAutospacing="1"/>
    </w:pPr>
  </w:style>
  <w:style w:type="paragraph" w:customStyle="1" w:styleId="block">
    <w:name w:val="block"/>
    <w:basedOn w:val="Normal"/>
    <w:uiPriority w:val="99"/>
    <w:pPr>
      <w:spacing w:before="100" w:beforeAutospacing="1" w:after="100" w:afterAutospacing="1"/>
    </w:pPr>
  </w:style>
  <w:style w:type="paragraph" w:customStyle="1" w:styleId="strong">
    <w:name w:val="strong"/>
    <w:basedOn w:val="Normal"/>
    <w:uiPriority w:val="99"/>
    <w:pPr>
      <w:ind w:left="600"/>
    </w:pPr>
    <w:rPr>
      <w:b/>
      <w:bCs/>
      <w:color w:val="6E6E6E"/>
    </w:rPr>
  </w:style>
  <w:style w:type="paragraph" w:customStyle="1" w:styleId="text-red">
    <w:name w:val="text-red"/>
    <w:basedOn w:val="Normal"/>
    <w:uiPriority w:val="99"/>
    <w:pPr>
      <w:spacing w:before="100" w:beforeAutospacing="1" w:after="100" w:afterAutospacing="1"/>
    </w:pPr>
    <w:rPr>
      <w:color w:val="B02B2E"/>
    </w:rPr>
  </w:style>
  <w:style w:type="paragraph" w:customStyle="1" w:styleId="text-boldred">
    <w:name w:val="text-boldred"/>
    <w:basedOn w:val="Normal"/>
    <w:uiPriority w:val="99"/>
    <w:pPr>
      <w:spacing w:before="100" w:beforeAutospacing="1" w:after="100" w:afterAutospacing="1"/>
    </w:pPr>
    <w:rPr>
      <w:b/>
      <w:bCs/>
      <w:color w:val="B02B2E"/>
    </w:rPr>
  </w:style>
  <w:style w:type="paragraph" w:customStyle="1" w:styleId="text-bold">
    <w:name w:val="text-bold"/>
    <w:basedOn w:val="Normal"/>
    <w:uiPriority w:val="99"/>
    <w:pPr>
      <w:spacing w:before="100" w:beforeAutospacing="1" w:after="100" w:afterAutospacing="1"/>
    </w:pPr>
    <w:rPr>
      <w:b/>
      <w:bCs/>
    </w:rPr>
  </w:style>
  <w:style w:type="paragraph" w:customStyle="1" w:styleId="text-italic">
    <w:name w:val="text-italic"/>
    <w:basedOn w:val="Normal"/>
    <w:uiPriority w:val="99"/>
    <w:pPr>
      <w:spacing w:before="100" w:beforeAutospacing="1" w:after="100" w:afterAutospacing="1"/>
    </w:pPr>
    <w:rPr>
      <w:i/>
      <w:iCs/>
    </w:rPr>
  </w:style>
  <w:style w:type="paragraph" w:customStyle="1" w:styleId="text-bold-italic">
    <w:name w:val="text-bold-italic"/>
    <w:basedOn w:val="Normal"/>
    <w:uiPriority w:val="99"/>
    <w:pPr>
      <w:spacing w:before="100" w:beforeAutospacing="1" w:after="100" w:afterAutospacing="1"/>
    </w:pPr>
    <w:rPr>
      <w:b/>
      <w:bCs/>
      <w:i/>
      <w:iCs/>
    </w:rPr>
  </w:style>
  <w:style w:type="paragraph" w:customStyle="1" w:styleId="text-bold-underline">
    <w:name w:val="text-bold-underline"/>
    <w:basedOn w:val="Normal"/>
    <w:uiPriority w:val="99"/>
    <w:pPr>
      <w:spacing w:before="100" w:beforeAutospacing="1" w:after="100" w:afterAutospacing="1"/>
    </w:pPr>
    <w:rPr>
      <w:b/>
      <w:bCs/>
      <w:u w:val="single"/>
    </w:rPr>
  </w:style>
  <w:style w:type="paragraph" w:customStyle="1" w:styleId="text-italic-underline">
    <w:name w:val="text-italic-underline"/>
    <w:basedOn w:val="Normal"/>
    <w:uiPriority w:val="99"/>
    <w:pPr>
      <w:spacing w:before="100" w:beforeAutospacing="1" w:after="100" w:afterAutospacing="1"/>
    </w:pPr>
    <w:rPr>
      <w:i/>
      <w:iCs/>
      <w:u w:val="single"/>
    </w:rPr>
  </w:style>
  <w:style w:type="paragraph" w:customStyle="1" w:styleId="text-bold-italic-underline">
    <w:name w:val="text-bold-italic-underline"/>
    <w:basedOn w:val="Normal"/>
    <w:uiPriority w:val="99"/>
    <w:pPr>
      <w:spacing w:before="100" w:beforeAutospacing="1" w:after="100" w:afterAutospacing="1"/>
    </w:pPr>
    <w:rPr>
      <w:b/>
      <w:bCs/>
      <w:i/>
      <w:iCs/>
      <w:u w:val="single"/>
    </w:rPr>
  </w:style>
  <w:style w:type="paragraph" w:customStyle="1" w:styleId="text-link">
    <w:name w:val="text-link"/>
    <w:basedOn w:val="Normal"/>
    <w:uiPriority w:val="99"/>
    <w:pPr>
      <w:spacing w:before="100" w:beforeAutospacing="1" w:after="100" w:afterAutospacing="1"/>
    </w:pPr>
    <w:rPr>
      <w:color w:val="1B4778"/>
      <w:u w:val="single"/>
    </w:rPr>
  </w:style>
  <w:style w:type="paragraph" w:customStyle="1" w:styleId="alignright">
    <w:name w:val="alignright"/>
    <w:basedOn w:val="Normal"/>
    <w:uiPriority w:val="99"/>
    <w:pPr>
      <w:spacing w:before="100" w:beforeAutospacing="1" w:after="100" w:afterAutospacing="1"/>
      <w:jc w:val="right"/>
    </w:pPr>
  </w:style>
  <w:style w:type="paragraph" w:customStyle="1" w:styleId="alignleft">
    <w:name w:val="alignleft"/>
    <w:basedOn w:val="Normal"/>
    <w:uiPriority w:val="99"/>
    <w:pPr>
      <w:spacing w:before="100" w:beforeAutospacing="1" w:after="100" w:afterAutospacing="1"/>
    </w:pPr>
  </w:style>
  <w:style w:type="paragraph" w:customStyle="1" w:styleId="aligncenter">
    <w:name w:val="aligncenter"/>
    <w:basedOn w:val="Normal"/>
    <w:uiPriority w:val="99"/>
    <w:pPr>
      <w:spacing w:before="100" w:beforeAutospacing="1" w:after="100" w:afterAutospacing="1"/>
      <w:jc w:val="center"/>
    </w:pPr>
  </w:style>
  <w:style w:type="paragraph" w:customStyle="1" w:styleId="sarc-tbl">
    <w:name w:val="sarc-tbl"/>
    <w:basedOn w:val="Normal"/>
    <w:uiPriority w:val="99"/>
    <w:pPr>
      <w:spacing w:before="300" w:after="150"/>
    </w:pPr>
    <w:rPr>
      <w:rFonts w:ascii="Verdana" w:hAnsi="Verdana"/>
    </w:rPr>
  </w:style>
  <w:style w:type="paragraph" w:customStyle="1" w:styleId="footer-tbl">
    <w:name w:val="footer-tbl"/>
    <w:basedOn w:val="Normal"/>
    <w:uiPriority w:val="99"/>
    <w:pPr>
      <w:spacing w:before="100" w:beforeAutospacing="1" w:after="100" w:afterAutospacing="1"/>
    </w:pPr>
    <w:rPr>
      <w:rFonts w:ascii="Verdana" w:hAnsi="Verdana"/>
      <w:sz w:val="18"/>
      <w:szCs w:val="18"/>
    </w:rPr>
  </w:style>
  <w:style w:type="paragraph" w:customStyle="1" w:styleId="blt">
    <w:name w:val="blt"/>
    <w:basedOn w:val="Normal"/>
    <w:uiPriority w:val="99"/>
    <w:pPr>
      <w:spacing w:line="288" w:lineRule="atLeast"/>
      <w:ind w:left="150"/>
    </w:pPr>
    <w:rPr>
      <w:b/>
      <w:bCs/>
      <w:u w:val="single"/>
    </w:rPr>
  </w:style>
  <w:style w:type="paragraph" w:customStyle="1" w:styleId="downloadwrap">
    <w:name w:val="downloadwrap"/>
    <w:basedOn w:val="Normal"/>
    <w:uiPriority w:val="99"/>
  </w:style>
  <w:style w:type="paragraph" w:customStyle="1" w:styleId="sarcreportsection">
    <w:name w:val="sarcreportsection"/>
    <w:basedOn w:val="Normal"/>
    <w:uiPriority w:val="99"/>
    <w:pPr>
      <w:spacing w:before="100" w:beforeAutospacing="1" w:after="100" w:afterAutospacing="1"/>
    </w:pPr>
  </w:style>
  <w:style w:type="character" w:customStyle="1" w:styleId="text-bold1">
    <w:name w:val="text-bold1"/>
    <w:basedOn w:val="DefaultParagraphFont"/>
    <w:rPr>
      <w:b/>
      <w:bCs/>
    </w:rPr>
  </w:style>
  <w:style w:type="character" w:customStyle="1" w:styleId="text-bold-italic1">
    <w:name w:val="text-bold-italic1"/>
    <w:basedOn w:val="DefaultParagraphFont"/>
    <w:rPr>
      <w:b/>
      <w:bCs/>
      <w:i/>
      <w:iCs/>
    </w:rPr>
  </w:style>
  <w:style w:type="character" w:customStyle="1" w:styleId="text-italic1">
    <w:name w:val="text-italic1"/>
    <w:basedOn w:val="DefaultParagraphFont"/>
    <w:rPr>
      <w:i/>
      <w:iCs/>
    </w:rPr>
  </w:style>
  <w:style w:type="character" w:customStyle="1" w:styleId="apple-tab-span">
    <w:name w:val="apple-tab-span"/>
    <w:basedOn w:val="DefaultParagraphFont"/>
  </w:style>
</w:styles>
</file>

<file path=word/webSettings.xml><?xml version="1.0" encoding="utf-8"?>
<w:webSettings xmlns:r="http://schemas.openxmlformats.org/officeDocument/2006/relationships" xmlns:w="http://schemas.openxmlformats.org/wordprocessingml/2006/main">
  <w:divs>
    <w:div w:id="2072121105">
      <w:marLeft w:val="0"/>
      <w:marRight w:val="0"/>
      <w:marTop w:val="0"/>
      <w:marBottom w:val="0"/>
      <w:divBdr>
        <w:top w:val="none" w:sz="0" w:space="0" w:color="auto"/>
        <w:left w:val="none" w:sz="0" w:space="0" w:color="auto"/>
        <w:bottom w:val="none" w:sz="0" w:space="0" w:color="auto"/>
        <w:right w:val="none" w:sz="0" w:space="0" w:color="auto"/>
      </w:divBdr>
      <w:divsChild>
        <w:div w:id="607086025">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e.ca.gov/ds/fd/ec/" TargetMode="External"/><Relationship Id="rId13" Type="http://schemas.openxmlformats.org/officeDocument/2006/relationships/hyperlink" Target="http://cahsee.cde.ca.gov/" TargetMode="External"/><Relationship Id="rId18" Type="http://schemas.openxmlformats.org/officeDocument/2006/relationships/hyperlink" Target="http://www.universityofcalifornia.edu/admission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cde.ca.gov/nclb/sr/tq/" TargetMode="External"/><Relationship Id="rId12" Type="http://schemas.openxmlformats.org/officeDocument/2006/relationships/hyperlink" Target="http://star.cde.ca.gov/" TargetMode="External"/><Relationship Id="rId17" Type="http://schemas.openxmlformats.org/officeDocument/2006/relationships/hyperlink" Target="http://www.cde.ca.gov/ta/ac/ay/tidetermine.asp" TargetMode="External"/><Relationship Id="rId2" Type="http://schemas.openxmlformats.org/officeDocument/2006/relationships/styles" Target="styles.xml"/><Relationship Id="rId16" Type="http://schemas.openxmlformats.org/officeDocument/2006/relationships/hyperlink" Target="http://www.cde.ca.gov/ta/ac/ay/"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dq.cde.ca.gov/dataquest/" TargetMode="External"/><Relationship Id="rId11" Type="http://schemas.openxmlformats.org/officeDocument/2006/relationships/hyperlink" Target="http://www.cde.ca.gov/ds/fd/cs/" TargetMode="External"/><Relationship Id="rId5" Type="http://schemas.openxmlformats.org/officeDocument/2006/relationships/hyperlink" Target="http://www.cde.ca.gov/ta/ac/sa/" TargetMode="External"/><Relationship Id="rId15" Type="http://schemas.openxmlformats.org/officeDocument/2006/relationships/hyperlink" Target="http://www.cde.ca.gov/ta/ac/ap/" TargetMode="External"/><Relationship Id="rId10" Type="http://schemas.openxmlformats.org/officeDocument/2006/relationships/hyperlink" Target="http://www.ed-data.org/" TargetMode="External"/><Relationship Id="rId19" Type="http://schemas.openxmlformats.org/officeDocument/2006/relationships/hyperlink" Target="http://www.calstate.edu/admission/admission.shtml" TargetMode="External"/><Relationship Id="rId4" Type="http://schemas.openxmlformats.org/officeDocument/2006/relationships/webSettings" Target="webSettings.xml"/><Relationship Id="rId9" Type="http://schemas.openxmlformats.org/officeDocument/2006/relationships/hyperlink" Target="http://www.cde.ca.gov/ds/fd/cs/" TargetMode="External"/><Relationship Id="rId14" Type="http://schemas.openxmlformats.org/officeDocument/2006/relationships/hyperlink" Target="http://www.cde.ca.gov/ta/tg/p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6767</Words>
  <Characters>38572</Characters>
  <Application>Microsoft Office Word</Application>
  <DocSecurity>0</DocSecurity>
  <Lines>321</Lines>
  <Paragraphs>90</Paragraphs>
  <ScaleCrop>false</ScaleCrop>
  <HeadingPairs>
    <vt:vector size="2" baseType="variant">
      <vt:variant>
        <vt:lpstr>Title</vt:lpstr>
      </vt:variant>
      <vt:variant>
        <vt:i4>1</vt:i4>
      </vt:variant>
    </vt:vector>
  </HeadingPairs>
  <TitlesOfParts>
    <vt:vector size="1" baseType="lpstr">
      <vt:lpstr>Pages - SARC Template 1011 19757136011043 English</vt:lpstr>
    </vt:vector>
  </TitlesOfParts>
  <Company/>
  <LinksUpToDate>false</LinksUpToDate>
  <CharactersWithSpaces>45249</CharactersWithSpaces>
  <SharedDoc>false</SharedDoc>
  <HLinks>
    <vt:vector size="90" baseType="variant">
      <vt:variant>
        <vt:i4>4522065</vt:i4>
      </vt:variant>
      <vt:variant>
        <vt:i4>42</vt:i4>
      </vt:variant>
      <vt:variant>
        <vt:i4>0</vt:i4>
      </vt:variant>
      <vt:variant>
        <vt:i4>5</vt:i4>
      </vt:variant>
      <vt:variant>
        <vt:lpwstr>http://www.calstate.edu/admission/admission.shtml</vt:lpwstr>
      </vt:variant>
      <vt:variant>
        <vt:lpwstr/>
      </vt:variant>
      <vt:variant>
        <vt:i4>5177420</vt:i4>
      </vt:variant>
      <vt:variant>
        <vt:i4>39</vt:i4>
      </vt:variant>
      <vt:variant>
        <vt:i4>0</vt:i4>
      </vt:variant>
      <vt:variant>
        <vt:i4>5</vt:i4>
      </vt:variant>
      <vt:variant>
        <vt:lpwstr>http://www.universityofcalifornia.edu/admissions/</vt:lpwstr>
      </vt:variant>
      <vt:variant>
        <vt:lpwstr/>
      </vt:variant>
      <vt:variant>
        <vt:i4>8192043</vt:i4>
      </vt:variant>
      <vt:variant>
        <vt:i4>36</vt:i4>
      </vt:variant>
      <vt:variant>
        <vt:i4>0</vt:i4>
      </vt:variant>
      <vt:variant>
        <vt:i4>5</vt:i4>
      </vt:variant>
      <vt:variant>
        <vt:lpwstr>http://www.cde.ca.gov/ta/ac/ay/tidetermine.asp</vt:lpwstr>
      </vt:variant>
      <vt:variant>
        <vt:lpwstr/>
      </vt:variant>
      <vt:variant>
        <vt:i4>7733299</vt:i4>
      </vt:variant>
      <vt:variant>
        <vt:i4>33</vt:i4>
      </vt:variant>
      <vt:variant>
        <vt:i4>0</vt:i4>
      </vt:variant>
      <vt:variant>
        <vt:i4>5</vt:i4>
      </vt:variant>
      <vt:variant>
        <vt:lpwstr>http://www.cde.ca.gov/ta/ac/ay/</vt:lpwstr>
      </vt:variant>
      <vt:variant>
        <vt:lpwstr/>
      </vt:variant>
      <vt:variant>
        <vt:i4>8323123</vt:i4>
      </vt:variant>
      <vt:variant>
        <vt:i4>30</vt:i4>
      </vt:variant>
      <vt:variant>
        <vt:i4>0</vt:i4>
      </vt:variant>
      <vt:variant>
        <vt:i4>5</vt:i4>
      </vt:variant>
      <vt:variant>
        <vt:lpwstr>http://www.cde.ca.gov/ta/ac/ap/</vt:lpwstr>
      </vt:variant>
      <vt:variant>
        <vt:lpwstr/>
      </vt:variant>
      <vt:variant>
        <vt:i4>8126502</vt:i4>
      </vt:variant>
      <vt:variant>
        <vt:i4>27</vt:i4>
      </vt:variant>
      <vt:variant>
        <vt:i4>0</vt:i4>
      </vt:variant>
      <vt:variant>
        <vt:i4>5</vt:i4>
      </vt:variant>
      <vt:variant>
        <vt:lpwstr>http://www.cde.ca.gov/ta/tg/pf/</vt:lpwstr>
      </vt:variant>
      <vt:variant>
        <vt:lpwstr/>
      </vt:variant>
      <vt:variant>
        <vt:i4>5308506</vt:i4>
      </vt:variant>
      <vt:variant>
        <vt:i4>24</vt:i4>
      </vt:variant>
      <vt:variant>
        <vt:i4>0</vt:i4>
      </vt:variant>
      <vt:variant>
        <vt:i4>5</vt:i4>
      </vt:variant>
      <vt:variant>
        <vt:lpwstr>http://cahsee.cde.ca.gov/</vt:lpwstr>
      </vt:variant>
      <vt:variant>
        <vt:lpwstr/>
      </vt:variant>
      <vt:variant>
        <vt:i4>2949163</vt:i4>
      </vt:variant>
      <vt:variant>
        <vt:i4>21</vt:i4>
      </vt:variant>
      <vt:variant>
        <vt:i4>0</vt:i4>
      </vt:variant>
      <vt:variant>
        <vt:i4>5</vt:i4>
      </vt:variant>
      <vt:variant>
        <vt:lpwstr>http://star.cde.ca.gov/</vt:lpwstr>
      </vt:variant>
      <vt:variant>
        <vt:lpwstr/>
      </vt:variant>
      <vt:variant>
        <vt:i4>6881318</vt:i4>
      </vt:variant>
      <vt:variant>
        <vt:i4>18</vt:i4>
      </vt:variant>
      <vt:variant>
        <vt:i4>0</vt:i4>
      </vt:variant>
      <vt:variant>
        <vt:i4>5</vt:i4>
      </vt:variant>
      <vt:variant>
        <vt:lpwstr>http://www.cde.ca.gov/ds/fd/cs/</vt:lpwstr>
      </vt:variant>
      <vt:variant>
        <vt:lpwstr/>
      </vt:variant>
      <vt:variant>
        <vt:i4>7012472</vt:i4>
      </vt:variant>
      <vt:variant>
        <vt:i4>15</vt:i4>
      </vt:variant>
      <vt:variant>
        <vt:i4>0</vt:i4>
      </vt:variant>
      <vt:variant>
        <vt:i4>5</vt:i4>
      </vt:variant>
      <vt:variant>
        <vt:lpwstr>http://www.ed-data.org/</vt:lpwstr>
      </vt:variant>
      <vt:variant>
        <vt:lpwstr/>
      </vt:variant>
      <vt:variant>
        <vt:i4>6881318</vt:i4>
      </vt:variant>
      <vt:variant>
        <vt:i4>12</vt:i4>
      </vt:variant>
      <vt:variant>
        <vt:i4>0</vt:i4>
      </vt:variant>
      <vt:variant>
        <vt:i4>5</vt:i4>
      </vt:variant>
      <vt:variant>
        <vt:lpwstr>http://www.cde.ca.gov/ds/fd/cs/</vt:lpwstr>
      </vt:variant>
      <vt:variant>
        <vt:lpwstr/>
      </vt:variant>
      <vt:variant>
        <vt:i4>7929888</vt:i4>
      </vt:variant>
      <vt:variant>
        <vt:i4>9</vt:i4>
      </vt:variant>
      <vt:variant>
        <vt:i4>0</vt:i4>
      </vt:variant>
      <vt:variant>
        <vt:i4>5</vt:i4>
      </vt:variant>
      <vt:variant>
        <vt:lpwstr>http://www.cde.ca.gov/ds/fd/ec/</vt:lpwstr>
      </vt:variant>
      <vt:variant>
        <vt:lpwstr/>
      </vt:variant>
      <vt:variant>
        <vt:i4>786497</vt:i4>
      </vt:variant>
      <vt:variant>
        <vt:i4>6</vt:i4>
      </vt:variant>
      <vt:variant>
        <vt:i4>0</vt:i4>
      </vt:variant>
      <vt:variant>
        <vt:i4>5</vt:i4>
      </vt:variant>
      <vt:variant>
        <vt:lpwstr>http://www.cde.ca.gov/nclb/sr/tq/</vt:lpwstr>
      </vt:variant>
      <vt:variant>
        <vt:lpwstr/>
      </vt:variant>
      <vt:variant>
        <vt:i4>2818165</vt:i4>
      </vt:variant>
      <vt:variant>
        <vt:i4>3</vt:i4>
      </vt:variant>
      <vt:variant>
        <vt:i4>0</vt:i4>
      </vt:variant>
      <vt:variant>
        <vt:i4>5</vt:i4>
      </vt:variant>
      <vt:variant>
        <vt:lpwstr>http://dq.cde.ca.gov/dataquest/</vt:lpwstr>
      </vt:variant>
      <vt:variant>
        <vt:lpwstr/>
      </vt:variant>
      <vt:variant>
        <vt:i4>7208993</vt:i4>
      </vt:variant>
      <vt:variant>
        <vt:i4>0</vt:i4>
      </vt:variant>
      <vt:variant>
        <vt:i4>0</vt:i4>
      </vt:variant>
      <vt:variant>
        <vt:i4>5</vt:i4>
      </vt:variant>
      <vt:variant>
        <vt:lpwstr>http://www.cde.ca.gov/ta/ac/sa/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Pages - SARC Template 1011 19757136011043 English</dc:title>
  <dc:creator>Robert</dc:creator>
  <cp:lastModifiedBy>Robert</cp:lastModifiedBy>
  <cp:revision>2</cp:revision>
  <dcterms:created xsi:type="dcterms:W3CDTF">2012-01-31T20:11:00Z</dcterms:created>
  <dcterms:modified xsi:type="dcterms:W3CDTF">2012-01-31T20:11:00Z</dcterms:modified>
</cp:coreProperties>
</file>