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7773" w:rsidRDefault="00AB7773">
      <w:pPr>
        <w:pStyle w:val="Heading2"/>
        <w:divId w:val="2099060955"/>
      </w:pPr>
      <w:r>
        <w:rPr>
          <w:color w:val="000000"/>
          <w:sz w:val="32"/>
          <w:szCs w:val="32"/>
        </w:rPr>
        <w:t>Executive Summary School Accountability Report Card, 2010–11</w:t>
      </w:r>
    </w:p>
    <w:p w:rsidR="00AB7773" w:rsidRDefault="00AB7773">
      <w:pPr>
        <w:divId w:val="2099060955"/>
      </w:pPr>
    </w:p>
    <w:p w:rsidR="00AB7773" w:rsidRDefault="00AB7773">
      <w:pPr>
        <w:pStyle w:val="Heading2"/>
        <w:divId w:val="2099060955"/>
      </w:pPr>
      <w:r>
        <w:rPr>
          <w:color w:val="B02B2E"/>
          <w:sz w:val="30"/>
          <w:szCs w:val="30"/>
        </w:rPr>
        <w:t>For</w:t>
      </w:r>
      <w:r>
        <w:rPr>
          <w:color w:val="000000"/>
        </w:rPr>
        <w:t xml:space="preserve"> Monterey Highlands Elementary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6"/>
        <w:gridCol w:w="5108"/>
        <w:gridCol w:w="1359"/>
        <w:gridCol w:w="1386"/>
      </w:tblGrid>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 xml:space="preserve">400 </w:t>
            </w:r>
            <w:proofErr w:type="spellStart"/>
            <w:r>
              <w:rPr>
                <w:rFonts w:ascii="Verdana" w:hAnsi="Verdana"/>
                <w:color w:val="666699"/>
                <w:sz w:val="17"/>
                <w:szCs w:val="17"/>
                <w:shd w:val="clear" w:color="auto" w:fill="FFFFCC"/>
              </w:rPr>
              <w:t>Casuda</w:t>
            </w:r>
            <w:proofErr w:type="spellEnd"/>
            <w:r>
              <w:rPr>
                <w:rFonts w:ascii="Verdana" w:hAnsi="Verdana"/>
                <w:color w:val="666699"/>
                <w:sz w:val="17"/>
                <w:szCs w:val="17"/>
                <w:shd w:val="clear" w:color="auto" w:fill="FFFFCC"/>
              </w:rPr>
              <w:t xml:space="preserve"> Canyon Dr., Monterey Park, CA, 91754-2204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626-308-2427</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Joe Cash,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Span: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K-8</w:t>
            </w:r>
          </w:p>
        </w:tc>
      </w:tr>
    </w:tbl>
    <w:p w:rsidR="00AB7773" w:rsidRDefault="00AB7773">
      <w:pPr>
        <w:divId w:val="2099060955"/>
      </w:pPr>
      <w:r>
        <w:br/>
      </w:r>
      <w:r>
        <w:br/>
      </w:r>
      <w:r>
        <w:rPr>
          <w:rFonts w:ascii="Verdana" w:hAnsi="Verdana"/>
          <w:color w:val="555555"/>
          <w:sz w:val="17"/>
          <w:szCs w:val="17"/>
        </w:rPr>
        <w:t>This executive summary of the School Accountability Report Card (SARC) is intended to provide parents and community members with a quick snapshot of information related to individual public schools. Most data presented in this report are reported for the 2010–11 school year. School finances and school completion data are reported for the 2009–10 school year. Contact information, facilities, curriculum and instructional materials, and select teacher data are reported for the 2011–12 school year. For additional information about the school, parents and community members should review the entire SARC or contact the school principal or the district office.</w:t>
      </w:r>
    </w:p>
    <w:p w:rsidR="00AB7773" w:rsidRDefault="00AB7773">
      <w:pPr>
        <w:pStyle w:val="Heading3"/>
        <w:divId w:val="2099060955"/>
      </w:pPr>
      <w:r>
        <w:rPr>
          <w:color w:val="000000"/>
          <w:sz w:val="30"/>
          <w:szCs w:val="30"/>
        </w:rPr>
        <w:t>About This School</w:t>
      </w:r>
    </w:p>
    <w:tbl>
      <w:tblPr>
        <w:tblW w:w="0" w:type="auto"/>
        <w:tblLook w:val="04A0"/>
      </w:tblPr>
      <w:tblGrid>
        <w:gridCol w:w="10950"/>
      </w:tblGrid>
      <w:tr w:rsidR="00AB7773">
        <w:trPr>
          <w:divId w:val="2099060955"/>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Arial" w:hAnsi="Arial" w:cs="Arial"/>
                <w:color w:val="000000"/>
                <w:sz w:val="18"/>
                <w:szCs w:val="18"/>
              </w:rPr>
              <w:t>At Monterey Highlands, our staff, students, parents and community have worked together to create a learning environment where all students can achieve their full potential. We focus on engaging students in an authentic and rigorous curriculum that is meaningful and provides a great variety of learning activities and active participation.  Our teachers are dedicated, well trained, and work with parents to meet the needs of every student and motivate them to do their very best. Students are taught from kindergarten through 8th grade to set their own learning goals and know what they need to do to further their achievement. We are very proud of the wonderful support of our parents and community and there are many opportunities for involvement and volunteering. We are proud of the fact that our school has made consistent and substantial gains in achievement while maintaining a well-rounded program that includes art, music and many student activities.</w:t>
            </w:r>
          </w:p>
        </w:tc>
      </w:tr>
    </w:tbl>
    <w:p w:rsidR="00AB7773" w:rsidRDefault="00AB7773">
      <w:pPr>
        <w:divId w:val="2099060955"/>
      </w:pPr>
    </w:p>
    <w:p w:rsidR="00AB7773" w:rsidRDefault="00AB7773">
      <w:pPr>
        <w:pStyle w:val="Heading3"/>
        <w:divId w:val="2099060955"/>
      </w:pPr>
      <w:r>
        <w:rPr>
          <w:color w:val="000000"/>
          <w:sz w:val="30"/>
          <w:szCs w:val="30"/>
        </w:rPr>
        <w:t>Student Enrollment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56"/>
        <w:gridCol w:w="1338"/>
      </w:tblGrid>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Enrollment</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883</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0.5%</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0.3%</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55.4%</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2.5%</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36.9%</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2.8%</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41.8%</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7.9%</w:t>
            </w:r>
          </w:p>
        </w:tc>
      </w:tr>
    </w:tbl>
    <w:p w:rsidR="00AB7773" w:rsidRDefault="00AB7773">
      <w:pPr>
        <w:divId w:val="2099060955"/>
      </w:pPr>
    </w:p>
    <w:p w:rsidR="00EF291B" w:rsidRDefault="00EF291B">
      <w:pPr>
        <w:pStyle w:val="Heading3"/>
        <w:divId w:val="2099060955"/>
        <w:rPr>
          <w:color w:val="000000"/>
          <w:sz w:val="30"/>
          <w:szCs w:val="30"/>
        </w:rPr>
      </w:pPr>
    </w:p>
    <w:p w:rsidR="00EF291B" w:rsidRDefault="00EF291B">
      <w:pPr>
        <w:pStyle w:val="Heading3"/>
        <w:divId w:val="2099060955"/>
        <w:rPr>
          <w:color w:val="000000"/>
          <w:sz w:val="30"/>
          <w:szCs w:val="30"/>
        </w:rPr>
      </w:pPr>
    </w:p>
    <w:p w:rsidR="00AB7773" w:rsidRDefault="00AB7773">
      <w:pPr>
        <w:pStyle w:val="Heading3"/>
        <w:divId w:val="2099060955"/>
      </w:pPr>
      <w:r>
        <w:rPr>
          <w:color w:val="000000"/>
          <w:sz w:val="30"/>
          <w:szCs w:val="30"/>
        </w:rPr>
        <w:lastRenderedPageBreak/>
        <w:t>Teachers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523"/>
        <w:gridCol w:w="1143"/>
      </w:tblGrid>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35</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Teaching Outside Subject Area of Competence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 xml:space="preserve"> of Teachers of 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Total Teacher </w:t>
            </w:r>
            <w:proofErr w:type="spellStart"/>
            <w:r>
              <w:rPr>
                <w:rFonts w:ascii="Verdana" w:hAnsi="Verdana"/>
                <w:b/>
                <w:bCs/>
                <w:color w:val="666699"/>
                <w:sz w:val="17"/>
                <w:szCs w:val="17"/>
                <w:shd w:val="clear" w:color="auto" w:fill="FFFFCC"/>
              </w:rPr>
              <w:t>Misassignments</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bl>
    <w:p w:rsidR="00AB7773" w:rsidRDefault="00AB7773">
      <w:pPr>
        <w:divId w:val="2099060955"/>
      </w:pPr>
    </w:p>
    <w:p w:rsidR="00AB7773" w:rsidRDefault="00AB7773">
      <w:pPr>
        <w:pStyle w:val="Heading3"/>
        <w:divId w:val="2099060955"/>
      </w:pPr>
      <w:r>
        <w:rPr>
          <w:color w:val="000000"/>
          <w:sz w:val="30"/>
          <w:szCs w:val="30"/>
        </w:rPr>
        <w:t>Student Performance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48"/>
        <w:gridCol w:w="6069"/>
      </w:tblGrid>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Students Proficient and Above on STAR* Program Results</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w:t>
            </w:r>
          </w:p>
        </w:tc>
      </w:tr>
    </w:tbl>
    <w:p w:rsidR="00AB7773" w:rsidRDefault="00AB7773">
      <w:pPr>
        <w:divId w:val="2099060955"/>
      </w:pPr>
      <w:r>
        <w:br/>
      </w:r>
      <w:r>
        <w:rPr>
          <w:rFonts w:ascii="Verdana" w:hAnsi="Verdana"/>
          <w:color w:val="555555"/>
          <w:sz w:val="17"/>
          <w:szCs w:val="17"/>
        </w:rPr>
        <w:t>*Standardized Testing and Reporting Program assessments used for accountability purposes include the California Standards Tests, the California Modified Assessment, and the California Alternate Performance Assessment.</w:t>
      </w:r>
    </w:p>
    <w:p w:rsidR="00AB7773" w:rsidRDefault="00AB7773">
      <w:pPr>
        <w:pStyle w:val="Heading3"/>
        <w:divId w:val="2099060955"/>
      </w:pPr>
      <w:r>
        <w:rPr>
          <w:color w:val="000000"/>
          <w:sz w:val="30"/>
          <w:szCs w:val="30"/>
        </w:rPr>
        <w:t>Academic Progress*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60"/>
        <w:gridCol w:w="1277"/>
      </w:tblGrid>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 Growth API Score (from 2011 Growth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879</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 Rank (from 2010 Base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All 2011 AYP Requirements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AYP Criteria Met Out of the Total Number of Criteria Possible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Met 19 of 21</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2011–12 Program Improvement Status (PI 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bl>
    <w:p w:rsidR="00AB7773" w:rsidRDefault="00AB7773">
      <w:pPr>
        <w:divId w:val="2099060955"/>
      </w:pPr>
      <w:r>
        <w:br/>
      </w:r>
      <w:r>
        <w:rPr>
          <w:rFonts w:ascii="Verdana" w:hAnsi="Verdana"/>
          <w:color w:val="555555"/>
          <w:sz w:val="17"/>
          <w:szCs w:val="17"/>
        </w:rPr>
        <w:t>*The Academic Performance Index is required under state law. Adequate Yearly Progress is required by federal law.</w:t>
      </w:r>
    </w:p>
    <w:p w:rsidR="00AB7773" w:rsidRDefault="00AB7773">
      <w:pPr>
        <w:pStyle w:val="Heading3"/>
        <w:divId w:val="2099060955"/>
      </w:pPr>
      <w:r>
        <w:rPr>
          <w:color w:val="000000"/>
          <w:sz w:val="30"/>
          <w:szCs w:val="30"/>
        </w:rPr>
        <w:t>School Facilities</w:t>
      </w:r>
    </w:p>
    <w:p w:rsidR="00AB7773" w:rsidRDefault="00AB7773">
      <w:pPr>
        <w:pStyle w:val="Heading4"/>
        <w:divId w:val="2099060955"/>
      </w:pPr>
      <w:r>
        <w:rPr>
          <w:color w:val="000000"/>
          <w:sz w:val="23"/>
          <w:szCs w:val="23"/>
        </w:rPr>
        <w:t>Summary of Most Recent Site Inspection</w:t>
      </w:r>
    </w:p>
    <w:tbl>
      <w:tblPr>
        <w:tblW w:w="0" w:type="auto"/>
        <w:tblLook w:val="04A0"/>
      </w:tblPr>
      <w:tblGrid>
        <w:gridCol w:w="10950"/>
      </w:tblGrid>
      <w:tr w:rsidR="00AB7773">
        <w:trPr>
          <w:divId w:val="2099060955"/>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AB7773" w:rsidRDefault="00AB7773">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The inspection on 1/4/2012 by the District’s Custodial Manager found the site to be clean, safe, and in good repair with no major defects requiring emergency repairs.</w:t>
            </w:r>
          </w:p>
        </w:tc>
      </w:tr>
    </w:tbl>
    <w:p w:rsidR="00AB7773" w:rsidRDefault="00AB7773">
      <w:pPr>
        <w:pStyle w:val="Heading4"/>
        <w:divId w:val="2099060955"/>
      </w:pPr>
      <w:r>
        <w:rPr>
          <w:color w:val="000000"/>
          <w:sz w:val="23"/>
          <w:szCs w:val="23"/>
        </w:rPr>
        <w:t>Repairs Needed</w:t>
      </w:r>
    </w:p>
    <w:tbl>
      <w:tblPr>
        <w:tblW w:w="0" w:type="auto"/>
        <w:tblLook w:val="04A0"/>
      </w:tblPr>
      <w:tblGrid>
        <w:gridCol w:w="6383"/>
      </w:tblGrid>
      <w:tr w:rsidR="00AB7773">
        <w:trPr>
          <w:divId w:val="2099060955"/>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AB7773" w:rsidRDefault="00AB7773">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Most repairs needed are general maintenance or wear and tear items.</w:t>
            </w:r>
          </w:p>
        </w:tc>
      </w:tr>
    </w:tbl>
    <w:p w:rsidR="00AB7773" w:rsidRDefault="00AB7773">
      <w:pPr>
        <w:pStyle w:val="Heading4"/>
        <w:divId w:val="2099060955"/>
      </w:pPr>
      <w:r>
        <w:rPr>
          <w:color w:val="000000"/>
          <w:sz w:val="23"/>
          <w:szCs w:val="23"/>
        </w:rPr>
        <w:t>Corrective Actions Taken or Planned</w:t>
      </w:r>
    </w:p>
    <w:tbl>
      <w:tblPr>
        <w:tblW w:w="0" w:type="auto"/>
        <w:tblLook w:val="04A0"/>
      </w:tblPr>
      <w:tblGrid>
        <w:gridCol w:w="5416"/>
      </w:tblGrid>
      <w:tr w:rsidR="00AB7773">
        <w:trPr>
          <w:divId w:val="2099060955"/>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AB7773" w:rsidRDefault="00AB7773">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Repairs will be scheduled as ongoing routine maintenance.</w:t>
            </w:r>
          </w:p>
        </w:tc>
      </w:tr>
    </w:tbl>
    <w:p w:rsidR="00AB7773" w:rsidRDefault="00AB7773">
      <w:pPr>
        <w:divId w:val="2099060955"/>
      </w:pPr>
    </w:p>
    <w:p w:rsidR="00AB7773" w:rsidRDefault="00AB7773">
      <w:pPr>
        <w:pStyle w:val="Heading3"/>
        <w:divId w:val="2099060955"/>
      </w:pPr>
      <w:r>
        <w:rPr>
          <w:color w:val="000000"/>
          <w:sz w:val="30"/>
          <w:szCs w:val="30"/>
        </w:rPr>
        <w:lastRenderedPageBreak/>
        <w:t>Curriculum and Instructional Materials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96"/>
        <w:gridCol w:w="5799"/>
      </w:tblGrid>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Pupils Who Lack Textbooks and Instructional Materials</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bl>
    <w:p w:rsidR="00AB7773" w:rsidRDefault="00AB7773">
      <w:pPr>
        <w:divId w:val="2099060955"/>
      </w:pPr>
    </w:p>
    <w:p w:rsidR="00AB7773" w:rsidRDefault="00AB7773">
      <w:pPr>
        <w:pStyle w:val="Heading3"/>
        <w:divId w:val="2099060955"/>
      </w:pPr>
      <w:r>
        <w:rPr>
          <w:color w:val="000000"/>
          <w:sz w:val="30"/>
          <w:szCs w:val="30"/>
        </w:rPr>
        <w:t>School Finances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51"/>
        <w:gridCol w:w="5432"/>
      </w:tblGrid>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(Unrestricted Sources Only)</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$5,292</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r>
    </w:tbl>
    <w:p w:rsidR="00AB7773" w:rsidRDefault="00AB7773">
      <w:pPr>
        <w:divId w:val="2099060955"/>
      </w:pPr>
    </w:p>
    <w:p w:rsidR="00AB7773" w:rsidRDefault="00AB7773">
      <w:pPr>
        <w:pStyle w:val="Heading3"/>
        <w:divId w:val="2099060955"/>
      </w:pPr>
      <w:r>
        <w:rPr>
          <w:color w:val="000000"/>
          <w:sz w:val="30"/>
          <w:szCs w:val="30"/>
        </w:rPr>
        <w:t>School Completion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50"/>
        <w:gridCol w:w="869"/>
      </w:tblGrid>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 (if applicable)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N/A</w:t>
            </w:r>
          </w:p>
        </w:tc>
      </w:tr>
    </w:tbl>
    <w:p w:rsidR="00AB7773" w:rsidRDefault="00AB7773">
      <w:pPr>
        <w:divId w:val="2099060955"/>
      </w:pPr>
    </w:p>
    <w:p w:rsidR="00AB7773" w:rsidRDefault="00AB7773">
      <w:pPr>
        <w:pStyle w:val="Heading3"/>
        <w:divId w:val="2099060955"/>
      </w:pPr>
      <w:r>
        <w:rPr>
          <w:color w:val="000000"/>
          <w:sz w:val="30"/>
          <w:szCs w:val="30"/>
        </w:rPr>
        <w:t>Postsecondary Preparation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43"/>
        <w:gridCol w:w="1007"/>
      </w:tblGrid>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Pupils Who Completed a Career Technical Education Program and Earned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Graduates Who Completed All Courses Required for University of California or California State University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N/A</w:t>
            </w:r>
          </w:p>
        </w:tc>
      </w:tr>
    </w:tbl>
    <w:p w:rsidR="00AB7773" w:rsidRDefault="00AB7773">
      <w:pPr>
        <w:divId w:val="2099060955"/>
      </w:pPr>
    </w:p>
    <w:p w:rsidR="00EF291B" w:rsidRDefault="00EF291B">
      <w:pPr>
        <w:pStyle w:val="Heading1"/>
        <w:jc w:val="center"/>
        <w:divId w:val="2099060955"/>
        <w:rPr>
          <w:color w:val="000000"/>
        </w:rPr>
      </w:pPr>
    </w:p>
    <w:p w:rsidR="00EF291B" w:rsidRDefault="00EF291B">
      <w:pPr>
        <w:pStyle w:val="Heading1"/>
        <w:jc w:val="center"/>
        <w:divId w:val="2099060955"/>
        <w:rPr>
          <w:color w:val="000000"/>
        </w:rPr>
      </w:pPr>
    </w:p>
    <w:p w:rsidR="00EF291B" w:rsidRDefault="00EF291B">
      <w:pPr>
        <w:pStyle w:val="Heading1"/>
        <w:jc w:val="center"/>
        <w:divId w:val="2099060955"/>
        <w:rPr>
          <w:color w:val="000000"/>
        </w:rPr>
      </w:pPr>
    </w:p>
    <w:p w:rsidR="00AB7773" w:rsidRDefault="00AB7773">
      <w:pPr>
        <w:pStyle w:val="Heading1"/>
        <w:jc w:val="center"/>
        <w:divId w:val="2099060955"/>
      </w:pPr>
      <w:r>
        <w:rPr>
          <w:color w:val="000000"/>
        </w:rPr>
        <w:lastRenderedPageBreak/>
        <w:t>School Accountability Report Card</w:t>
      </w:r>
    </w:p>
    <w:p w:rsidR="00AB7773" w:rsidRDefault="00AB7773">
      <w:pPr>
        <w:pStyle w:val="Heading2"/>
        <w:jc w:val="center"/>
        <w:divId w:val="2099060955"/>
      </w:pPr>
      <w:r>
        <w:rPr>
          <w:color w:val="000000"/>
          <w:sz w:val="35"/>
          <w:szCs w:val="35"/>
        </w:rPr>
        <w:t>Reported Using Data from the 2010–11 School Year</w:t>
      </w:r>
    </w:p>
    <w:p w:rsidR="00AB7773" w:rsidRDefault="00AB7773">
      <w:pPr>
        <w:pStyle w:val="Heading3"/>
        <w:spacing w:before="0" w:after="0"/>
        <w:jc w:val="center"/>
        <w:divId w:val="2099060955"/>
      </w:pPr>
      <w:r>
        <w:rPr>
          <w:b w:val="0"/>
          <w:bCs w:val="0"/>
          <w:i/>
          <w:iCs/>
          <w:color w:val="6E6E6E"/>
          <w:sz w:val="30"/>
          <w:szCs w:val="30"/>
        </w:rPr>
        <w:t>Published During 2011–12</w:t>
      </w:r>
    </w:p>
    <w:p w:rsidR="00AB7773" w:rsidRDefault="00AB7773">
      <w:pPr>
        <w:divId w:val="2099060955"/>
      </w:pPr>
      <w:r>
        <w:rPr>
          <w:rFonts w:ascii="Verdana" w:hAnsi="Verdana"/>
          <w:color w:val="555555"/>
          <w:sz w:val="17"/>
          <w:szCs w:val="17"/>
        </w:rPr>
        <w:t>Every school in California is required by state law to publish a School Accountability Report Card (SARC), by February 1 of each year. The SARC contains information about the condition and performance of each California public school.</w:t>
      </w:r>
    </w:p>
    <w:p w:rsidR="00AB7773" w:rsidRDefault="00AB7773">
      <w:pPr>
        <w:numPr>
          <w:ilvl w:val="0"/>
          <w:numId w:val="1"/>
        </w:numPr>
        <w:spacing w:before="100" w:beforeAutospacing="1" w:after="100" w:afterAutospacing="1"/>
        <w:textAlignment w:val="baseline"/>
        <w:divId w:val="2099060955"/>
        <w:rPr>
          <w:rFonts w:ascii="Arial" w:hAnsi="Arial" w:cs="Arial"/>
          <w:color w:val="000000"/>
          <w:sz w:val="23"/>
          <w:szCs w:val="23"/>
        </w:rPr>
      </w:pPr>
      <w:r>
        <w:rPr>
          <w:rFonts w:ascii="Verdana" w:hAnsi="Verdana" w:cs="Arial"/>
          <w:color w:val="555555"/>
          <w:sz w:val="17"/>
          <w:szCs w:val="17"/>
        </w:rPr>
        <w:t>For more information about SARC requirements, see the California Department of Education (CDE) SARC Web page at</w:t>
      </w:r>
      <w:hyperlink r:id="rId5" w:history="1">
        <w:r>
          <w:rPr>
            <w:rStyle w:val="Hyperlink"/>
            <w:rFonts w:ascii="Verdana" w:hAnsi="Verdana" w:cs="Arial"/>
            <w:color w:val="555555"/>
            <w:sz w:val="17"/>
            <w:szCs w:val="17"/>
          </w:rPr>
          <w:t xml:space="preserve"> http://www.cde.ca.gov/ta/ac/sa/</w:t>
        </w:r>
      </w:hyperlink>
      <w:r>
        <w:rPr>
          <w:rFonts w:ascii="Verdana" w:hAnsi="Verdana" w:cs="Arial"/>
          <w:color w:val="555555"/>
          <w:sz w:val="17"/>
          <w:szCs w:val="17"/>
        </w:rPr>
        <w:t>.</w:t>
      </w:r>
    </w:p>
    <w:p w:rsidR="00AB7773" w:rsidRDefault="00AB7773">
      <w:pPr>
        <w:numPr>
          <w:ilvl w:val="0"/>
          <w:numId w:val="1"/>
        </w:numPr>
        <w:spacing w:before="100" w:beforeAutospacing="1" w:after="100" w:afterAutospacing="1"/>
        <w:textAlignment w:val="baseline"/>
        <w:divId w:val="2099060955"/>
        <w:rPr>
          <w:rFonts w:ascii="Arial" w:hAnsi="Arial" w:cs="Arial"/>
          <w:color w:val="000000"/>
          <w:sz w:val="23"/>
          <w:szCs w:val="23"/>
        </w:rPr>
      </w:pPr>
      <w:r>
        <w:rPr>
          <w:rFonts w:ascii="Verdana" w:hAnsi="Verdana" w:cs="Arial"/>
          <w:color w:val="555555"/>
          <w:sz w:val="17"/>
          <w:szCs w:val="17"/>
        </w:rPr>
        <w:t>For additional information about the school, parents and community members should contact the school principal or the district office.</w:t>
      </w:r>
    </w:p>
    <w:p w:rsidR="00AB7773" w:rsidRDefault="00AB7773">
      <w:pPr>
        <w:divId w:val="2099060955"/>
      </w:pPr>
      <w:r>
        <w:br/>
      </w:r>
    </w:p>
    <w:p w:rsidR="00AB7773" w:rsidRDefault="00AB7773">
      <w:pPr>
        <w:pStyle w:val="Heading2"/>
        <w:divId w:val="2099060955"/>
      </w:pPr>
      <w:r>
        <w:rPr>
          <w:color w:val="000000"/>
          <w:sz w:val="32"/>
          <w:szCs w:val="32"/>
        </w:rPr>
        <w:t>I. Data and Access</w:t>
      </w:r>
    </w:p>
    <w:p w:rsidR="00AB7773" w:rsidRDefault="00AB7773">
      <w:pPr>
        <w:pStyle w:val="Heading4"/>
        <w:divId w:val="2099060955"/>
      </w:pPr>
      <w:r>
        <w:rPr>
          <w:color w:val="000000"/>
          <w:sz w:val="23"/>
          <w:szCs w:val="23"/>
        </w:rPr>
        <w:t>Ed-Data Partnership Web Site</w:t>
      </w:r>
    </w:p>
    <w:p w:rsidR="00AB7773" w:rsidRDefault="00AB7773">
      <w:pPr>
        <w:divId w:val="2099060955"/>
      </w:pPr>
      <w:r>
        <w:rPr>
          <w:rFonts w:ascii="Verdana" w:hAnsi="Verdana"/>
          <w:color w:val="555555"/>
          <w:sz w:val="17"/>
          <w:szCs w:val="17"/>
        </w:rPr>
        <w:t xml:space="preserve">Ed-Data </w:t>
      </w:r>
      <w:r>
        <w:rPr>
          <w:rFonts w:ascii="Verdana" w:hAnsi="Verdana"/>
          <w:i/>
          <w:iCs/>
          <w:color w:val="555555"/>
          <w:sz w:val="17"/>
          <w:szCs w:val="17"/>
        </w:rPr>
        <w:t xml:space="preserve">is a partnership of the </w:t>
      </w:r>
      <w:r>
        <w:rPr>
          <w:rFonts w:ascii="Verdana" w:hAnsi="Verdana"/>
          <w:color w:val="555555"/>
          <w:sz w:val="17"/>
          <w:szCs w:val="17"/>
        </w:rPr>
        <w:t xml:space="preserve">CDE, </w:t>
      </w:r>
      <w:proofErr w:type="spellStart"/>
      <w:r>
        <w:rPr>
          <w:rFonts w:ascii="Verdana" w:hAnsi="Verdana"/>
          <w:color w:val="555555"/>
          <w:sz w:val="17"/>
          <w:szCs w:val="17"/>
        </w:rPr>
        <w:t>EdSource</w:t>
      </w:r>
      <w:proofErr w:type="spellEnd"/>
      <w:r>
        <w:rPr>
          <w:rFonts w:ascii="Verdana" w:hAnsi="Verdana"/>
          <w:color w:val="555555"/>
          <w:sz w:val="17"/>
          <w:szCs w:val="17"/>
        </w:rPr>
        <w:t>, and the Fiscal Crisis and Management Assistance Team (FCMAT) that provides extensive financial, demographic, and performance information about California’s public kindergarten through grade twelve school districts and schools.</w:t>
      </w:r>
    </w:p>
    <w:p w:rsidR="00AB7773" w:rsidRDefault="00AB7773">
      <w:pPr>
        <w:pStyle w:val="Heading4"/>
        <w:divId w:val="2099060955"/>
      </w:pPr>
      <w:proofErr w:type="spellStart"/>
      <w:r>
        <w:rPr>
          <w:color w:val="000000"/>
          <w:sz w:val="23"/>
          <w:szCs w:val="23"/>
        </w:rPr>
        <w:t>DataQuest</w:t>
      </w:r>
      <w:proofErr w:type="spellEnd"/>
    </w:p>
    <w:p w:rsidR="00AB7773" w:rsidRDefault="00AB7773">
      <w:pPr>
        <w:divId w:val="2099060955"/>
      </w:pPr>
      <w:proofErr w:type="spellStart"/>
      <w:r>
        <w:rPr>
          <w:rFonts w:ascii="Verdana" w:hAnsi="Verdana"/>
          <w:color w:val="555555"/>
          <w:sz w:val="17"/>
          <w:szCs w:val="17"/>
        </w:rPr>
        <w:t>DataQuest</w:t>
      </w:r>
      <w:proofErr w:type="spellEnd"/>
      <w:r>
        <w:rPr>
          <w:rFonts w:ascii="Verdana" w:hAnsi="Verdana"/>
          <w:color w:val="555555"/>
          <w:sz w:val="17"/>
          <w:szCs w:val="17"/>
        </w:rPr>
        <w:t xml:space="preserve"> is an online data tool located on the CDE </w:t>
      </w:r>
      <w:proofErr w:type="spellStart"/>
      <w:r>
        <w:rPr>
          <w:rFonts w:ascii="Verdana" w:hAnsi="Verdana"/>
          <w:color w:val="555555"/>
          <w:sz w:val="17"/>
          <w:szCs w:val="17"/>
        </w:rPr>
        <w:t>DataQuest</w:t>
      </w:r>
      <w:proofErr w:type="spellEnd"/>
      <w:r>
        <w:rPr>
          <w:rFonts w:ascii="Verdana" w:hAnsi="Verdana"/>
          <w:color w:val="555555"/>
          <w:sz w:val="17"/>
          <w:szCs w:val="17"/>
        </w:rPr>
        <w:t xml:space="preserve"> Web page at</w:t>
      </w:r>
      <w:hyperlink r:id="rId6" w:history="1">
        <w:r>
          <w:rPr>
            <w:rStyle w:val="Hyperlink"/>
            <w:rFonts w:ascii="Verdana" w:hAnsi="Verdana"/>
            <w:color w:val="555555"/>
            <w:sz w:val="17"/>
            <w:szCs w:val="17"/>
          </w:rPr>
          <w:t xml:space="preserve"> http://dq.cde.ca.gov/dataquest/</w:t>
        </w:r>
      </w:hyperlink>
      <w:r>
        <w:rPr>
          <w:rFonts w:ascii="Verdana" w:hAnsi="Verdana"/>
          <w:color w:val="555555"/>
          <w:sz w:val="17"/>
          <w:szCs w:val="17"/>
        </w:rPr>
        <w:t xml:space="preserve"> that contains additional information about this school and comparisons of the school to the district, the county, and the state. Specifically, </w:t>
      </w:r>
      <w:proofErr w:type="spellStart"/>
      <w:r>
        <w:rPr>
          <w:rFonts w:ascii="Verdana" w:hAnsi="Verdana"/>
          <w:color w:val="555555"/>
          <w:sz w:val="17"/>
          <w:szCs w:val="17"/>
        </w:rPr>
        <w:t>DataQuest</w:t>
      </w:r>
      <w:proofErr w:type="spellEnd"/>
      <w:r>
        <w:rPr>
          <w:rFonts w:ascii="Verdana" w:hAnsi="Verdana"/>
          <w:color w:val="555555"/>
          <w:sz w:val="17"/>
          <w:szCs w:val="17"/>
        </w:rPr>
        <w:t xml:space="preserve"> is a dynamic system that provides reports for accountability (e.g., state Academic Performance Index [API], federal Adequate Yearly Progress [AYP]), test data, enrollment, high school graduates, dropouts, course enrollments, staffing, and data regarding English learners.</w:t>
      </w:r>
    </w:p>
    <w:p w:rsidR="00AB7773" w:rsidRDefault="00AB7773">
      <w:pPr>
        <w:pStyle w:val="Heading4"/>
        <w:divId w:val="2099060955"/>
      </w:pPr>
      <w:r>
        <w:rPr>
          <w:color w:val="000000"/>
          <w:sz w:val="23"/>
          <w:szCs w:val="23"/>
        </w:rPr>
        <w:t>Internet Access</w:t>
      </w:r>
    </w:p>
    <w:p w:rsidR="00AB7773" w:rsidRDefault="00AB7773">
      <w:pPr>
        <w:divId w:val="2099060955"/>
      </w:pPr>
      <w:r>
        <w:rPr>
          <w:rFonts w:ascii="Verdana" w:hAnsi="Verdana"/>
          <w:color w:val="555555"/>
          <w:sz w:val="17"/>
          <w:szCs w:val="17"/>
        </w:rPr>
        <w:t>Internet access is available at public libraries and other locations that are publicly accessible (e.g., the California State Library). Access to the Internet at libraries and public locations is generally provided on a first-come, first-served basis. Other use restrictions may include the hours of operation, the length of time that a workstation may be used (depending on availability), the types of software programs available on a workstation, and the ability to print documents.</w:t>
      </w:r>
    </w:p>
    <w:p w:rsidR="00AB7773" w:rsidRDefault="00AB7773">
      <w:pPr>
        <w:pStyle w:val="Heading2"/>
        <w:divId w:val="2099060955"/>
      </w:pPr>
      <w:r>
        <w:rPr>
          <w:color w:val="000000"/>
          <w:sz w:val="32"/>
          <w:szCs w:val="32"/>
        </w:rPr>
        <w:t>II. About This School</w:t>
      </w:r>
    </w:p>
    <w:p w:rsidR="00AB7773" w:rsidRDefault="00AB7773">
      <w:pPr>
        <w:pStyle w:val="Heading4"/>
        <w:divId w:val="2099060955"/>
      </w:pPr>
      <w:r>
        <w:rPr>
          <w:color w:val="000000"/>
          <w:sz w:val="23"/>
          <w:szCs w:val="23"/>
        </w:rPr>
        <w:t>Contact Information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25"/>
        <w:gridCol w:w="2953"/>
        <w:gridCol w:w="1670"/>
        <w:gridCol w:w="3159"/>
      </w:tblGrid>
      <w:tr w:rsidR="00AB7773">
        <w:trPr>
          <w:divId w:val="2099060955"/>
        </w:trPr>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rPr>
                <w:sz w:val="2"/>
              </w:rPr>
            </w:pPr>
            <w:r w:rsidRPr="00216093">
              <w:rPr>
                <w:rFonts w:ascii="Verdana" w:hAnsi="Verdana"/>
                <w:b/>
                <w:bCs/>
                <w:color w:val="FFFFFF"/>
                <w:sz w:val="18"/>
                <w:szCs w:val="18"/>
                <w:shd w:val="clear" w:color="auto" w:fill="1A4678"/>
              </w:rPr>
              <w:t>School</w:t>
            </w:r>
          </w:p>
        </w:tc>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rPr>
                <w:sz w:val="2"/>
              </w:rPr>
            </w:pPr>
            <w:r w:rsidRPr="00216093">
              <w:rPr>
                <w:rFonts w:ascii="Verdana" w:hAnsi="Verdana"/>
                <w:b/>
                <w:bCs/>
                <w:color w:val="FFFFFF"/>
                <w:sz w:val="18"/>
                <w:szCs w:val="18"/>
                <w:shd w:val="clear" w:color="auto" w:fill="1A4678"/>
              </w:rPr>
              <w:t>District</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Monterey Highlands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Unified</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Street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 xml:space="preserve">400 </w:t>
            </w:r>
            <w:proofErr w:type="spellStart"/>
            <w:r>
              <w:rPr>
                <w:rFonts w:ascii="Verdana" w:hAnsi="Verdana"/>
                <w:color w:val="666699"/>
                <w:sz w:val="17"/>
                <w:szCs w:val="17"/>
                <w:shd w:val="clear" w:color="auto" w:fill="FFFFCC"/>
              </w:rPr>
              <w:t>Casuda</w:t>
            </w:r>
            <w:proofErr w:type="spellEnd"/>
            <w:r>
              <w:rPr>
                <w:rFonts w:ascii="Verdana" w:hAnsi="Verdana"/>
                <w:color w:val="666699"/>
                <w:sz w:val="17"/>
                <w:szCs w:val="17"/>
                <w:shd w:val="clear" w:color="auto" w:fill="FFFFCC"/>
              </w:rPr>
              <w:t xml:space="preserve"> Canyon Dr.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(626) 943-3000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City, State, Zip</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Monterey Park, CA, 91754-2204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Web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www.ausd.us</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626-308-2427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Donna Perez</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Joe Cash,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perez_donna@alhambra.k12.ca.us</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Cash_Joe@alhambra.k12.ca.us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CDS Code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19757136011076</w:t>
            </w:r>
          </w:p>
        </w:tc>
      </w:tr>
    </w:tbl>
    <w:p w:rsidR="00AB7773" w:rsidRDefault="00AB7773">
      <w:pPr>
        <w:divId w:val="2099060955"/>
      </w:pPr>
    </w:p>
    <w:p w:rsidR="00EF291B" w:rsidRDefault="00EF291B">
      <w:pPr>
        <w:pStyle w:val="Heading4"/>
        <w:divId w:val="2099060955"/>
        <w:rPr>
          <w:color w:val="000000"/>
          <w:sz w:val="23"/>
          <w:szCs w:val="23"/>
        </w:rPr>
      </w:pPr>
    </w:p>
    <w:p w:rsidR="00AB7773" w:rsidRDefault="00AB7773">
      <w:pPr>
        <w:pStyle w:val="Heading4"/>
        <w:divId w:val="2099060955"/>
      </w:pPr>
      <w:r>
        <w:rPr>
          <w:color w:val="000000"/>
          <w:sz w:val="23"/>
          <w:szCs w:val="23"/>
        </w:rPr>
        <w:lastRenderedPageBreak/>
        <w:t>School Description and Mission Statement (School Year 2010–11)</w:t>
      </w:r>
    </w:p>
    <w:tbl>
      <w:tblPr>
        <w:tblW w:w="0" w:type="auto"/>
        <w:tblLook w:val="04A0"/>
      </w:tblPr>
      <w:tblGrid>
        <w:gridCol w:w="10950"/>
      </w:tblGrid>
      <w:tr w:rsidR="00AB7773">
        <w:trPr>
          <w:divId w:val="2099060955"/>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AB7773" w:rsidRDefault="00AB7773">
            <w:pPr>
              <w:pStyle w:val="NormalWeb"/>
              <w:spacing w:before="0" w:beforeAutospacing="0" w:after="0" w:afterAutospacing="0"/>
              <w:ind w:left="20" w:right="20"/>
            </w:pPr>
            <w:r>
              <w:rPr>
                <w:rFonts w:ascii="Arial" w:hAnsi="Arial" w:cs="Arial"/>
                <w:color w:val="000000"/>
                <w:sz w:val="18"/>
                <w:szCs w:val="18"/>
              </w:rPr>
              <w:t>Monterey Highlands School, with its culturally and linguistically diverse population, will provide an educational program that will meet the academic needs of all students.  They will reach their full potential in an environment that enhances self-esteem, promotes positive social interaction, and encourages a life-long love of learning.</w:t>
            </w:r>
          </w:p>
          <w:p w:rsidR="00AB7773" w:rsidRDefault="00AB7773">
            <w:pPr>
              <w:pStyle w:val="NormalWeb"/>
              <w:numPr>
                <w:ilvl w:val="0"/>
                <w:numId w:val="2"/>
              </w:numPr>
              <w:spacing w:before="0" w:beforeAutospacing="0" w:after="0" w:afterAutospacing="0"/>
              <w:ind w:right="20"/>
              <w:textAlignment w:val="baseline"/>
              <w:rPr>
                <w:i/>
                <w:iCs/>
              </w:rPr>
            </w:pPr>
            <w:r>
              <w:rPr>
                <w:rFonts w:ascii="Arial" w:hAnsi="Arial" w:cs="Arial"/>
                <w:i/>
                <w:iCs/>
                <w:color w:val="000000"/>
                <w:sz w:val="18"/>
                <w:szCs w:val="18"/>
              </w:rPr>
              <w:t>All Monterey Highlands students will meet or exceed appropriate grade level standards in all curricular areas.</w:t>
            </w:r>
          </w:p>
          <w:p w:rsidR="00AB7773" w:rsidRDefault="00AB7773">
            <w:pPr>
              <w:pStyle w:val="NormalWeb"/>
              <w:numPr>
                <w:ilvl w:val="0"/>
                <w:numId w:val="2"/>
              </w:numPr>
              <w:spacing w:before="0" w:beforeAutospacing="0" w:after="0" w:afterAutospacing="0"/>
              <w:ind w:right="20"/>
              <w:textAlignment w:val="baseline"/>
              <w:rPr>
                <w:i/>
                <w:iCs/>
              </w:rPr>
            </w:pPr>
            <w:r>
              <w:rPr>
                <w:rFonts w:ascii="Arial" w:hAnsi="Arial" w:cs="Arial"/>
                <w:i/>
                <w:iCs/>
                <w:color w:val="000000"/>
                <w:sz w:val="18"/>
                <w:szCs w:val="18"/>
              </w:rPr>
              <w:t>The staff will be highly qualified and consistently supported through sound research-based professional    </w:t>
            </w:r>
          </w:p>
          <w:p w:rsidR="00AB7773" w:rsidRDefault="00AB7773">
            <w:pPr>
              <w:pStyle w:val="NormalWeb"/>
              <w:spacing w:before="0" w:beforeAutospacing="0" w:after="0" w:afterAutospacing="0"/>
              <w:ind w:left="20" w:right="20"/>
            </w:pPr>
            <w:r>
              <w:rPr>
                <w:rFonts w:ascii="Arial" w:hAnsi="Arial" w:cs="Arial"/>
                <w:i/>
                <w:iCs/>
                <w:color w:val="000000"/>
                <w:sz w:val="18"/>
                <w:szCs w:val="18"/>
              </w:rPr>
              <w:t>              development.</w:t>
            </w:r>
          </w:p>
          <w:p w:rsidR="00AB7773" w:rsidRDefault="00AB7773">
            <w:pPr>
              <w:pStyle w:val="NormalWeb"/>
              <w:numPr>
                <w:ilvl w:val="0"/>
                <w:numId w:val="3"/>
              </w:numPr>
              <w:spacing w:before="0" w:beforeAutospacing="0" w:after="0" w:afterAutospacing="0" w:line="0" w:lineRule="atLeast"/>
              <w:ind w:right="20"/>
              <w:textAlignment w:val="baseline"/>
              <w:rPr>
                <w:i/>
                <w:iCs/>
              </w:rPr>
            </w:pPr>
            <w:r>
              <w:rPr>
                <w:rFonts w:ascii="Arial" w:hAnsi="Arial" w:cs="Arial"/>
                <w:i/>
                <w:iCs/>
                <w:color w:val="000000"/>
                <w:sz w:val="18"/>
                <w:szCs w:val="18"/>
              </w:rPr>
              <w:t>Parents will be involved in a variety of meaningful activities that foster their child’s success in school.</w:t>
            </w:r>
          </w:p>
        </w:tc>
      </w:tr>
    </w:tbl>
    <w:p w:rsidR="00EF291B" w:rsidRDefault="00EF291B">
      <w:pPr>
        <w:pStyle w:val="Heading4"/>
        <w:divId w:val="2099060955"/>
        <w:rPr>
          <w:color w:val="000000"/>
          <w:sz w:val="23"/>
          <w:szCs w:val="23"/>
        </w:rPr>
      </w:pPr>
    </w:p>
    <w:p w:rsidR="00AB7773" w:rsidRDefault="00AB7773">
      <w:pPr>
        <w:pStyle w:val="Heading4"/>
        <w:divId w:val="2099060955"/>
      </w:pPr>
      <w:r>
        <w:rPr>
          <w:color w:val="000000"/>
          <w:sz w:val="23"/>
          <w:szCs w:val="23"/>
        </w:rPr>
        <w:t>Opportunities for Parental Involvement (School Year 2010–11)</w:t>
      </w:r>
    </w:p>
    <w:tbl>
      <w:tblPr>
        <w:tblW w:w="0" w:type="auto"/>
        <w:tblLook w:val="04A0"/>
      </w:tblPr>
      <w:tblGrid>
        <w:gridCol w:w="10950"/>
      </w:tblGrid>
      <w:tr w:rsidR="00AB7773">
        <w:trPr>
          <w:divId w:val="2099060955"/>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Arial" w:hAnsi="Arial" w:cs="Arial"/>
                <w:color w:val="000000"/>
                <w:sz w:val="18"/>
                <w:szCs w:val="18"/>
              </w:rPr>
              <w:t>Parents and staff members participate on various committees that make decisions regarding the priorities and direction of the educational plan to ensure instructional programs are consistent with students’ needs and to comply with District goals. These committees include: Bilingual Advisory Committee (BAC), Parent Teacher Association (PTA), Parent Teacher Organization (PTO), School Advisory Committee (SAC), and School Site Council (SSC). There are also many opportunities for parents to volunteer at Monterey Highlands. Parents are needed to help with PTA and PTO events, help in classrooms and participate in programs such as our Very Special Readers, a group of volunteers who work with lower grade students to help them improve their reading fluency. The School Site Council, consisting of school staff and parents, is a major governing body that meets regularly to address programs and components that make up the school, to discuss the effectiveness and appropriateness of the various programs and components relative to the goals of the school, and to act as a communication liaison between the community and the school.  The Alhambra Unified School District sponsors the Kindergarten through College project that is designed to educate parents about the importance of preparing for college, starting with students in Kindergarten. The program sponsors parent training that include topics such as introduction to the college system, applying to college, financial aid, and saving for college. We also have parent education on Developmental Assets which includes ways to help parents communicate with their children and build strengths that will help them become successful.</w:t>
            </w:r>
          </w:p>
        </w:tc>
      </w:tr>
    </w:tbl>
    <w:p w:rsidR="00EF291B" w:rsidRDefault="00EF291B">
      <w:pPr>
        <w:pStyle w:val="Heading4"/>
        <w:divId w:val="2099060955"/>
        <w:rPr>
          <w:color w:val="000000"/>
          <w:sz w:val="23"/>
          <w:szCs w:val="23"/>
        </w:rPr>
      </w:pPr>
    </w:p>
    <w:p w:rsidR="00AB7773" w:rsidRDefault="00AB7773">
      <w:pPr>
        <w:pStyle w:val="Heading4"/>
        <w:divId w:val="2099060955"/>
      </w:pPr>
      <w:r>
        <w:rPr>
          <w:color w:val="000000"/>
          <w:sz w:val="23"/>
          <w:szCs w:val="23"/>
        </w:rPr>
        <w:t>Student Enrollment by Grade Level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45"/>
        <w:gridCol w:w="2260"/>
        <w:gridCol w:w="2262"/>
        <w:gridCol w:w="2260"/>
      </w:tblGrid>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Kindergarten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Secondary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Total Enrollment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883</w:t>
            </w:r>
          </w:p>
        </w:tc>
      </w:tr>
    </w:tbl>
    <w:p w:rsidR="00EF291B" w:rsidRDefault="00EF291B">
      <w:pPr>
        <w:pStyle w:val="Heading4"/>
        <w:divId w:val="2099060955"/>
        <w:rPr>
          <w:color w:val="000000"/>
          <w:sz w:val="23"/>
          <w:szCs w:val="23"/>
        </w:rPr>
      </w:pPr>
    </w:p>
    <w:p w:rsidR="00EF291B" w:rsidRDefault="00EF291B">
      <w:pPr>
        <w:pStyle w:val="Heading4"/>
        <w:divId w:val="2099060955"/>
        <w:rPr>
          <w:color w:val="000000"/>
          <w:sz w:val="23"/>
          <w:szCs w:val="23"/>
        </w:rPr>
      </w:pPr>
    </w:p>
    <w:p w:rsidR="00EF291B" w:rsidRDefault="00EF291B">
      <w:pPr>
        <w:pStyle w:val="Heading4"/>
        <w:divId w:val="2099060955"/>
        <w:rPr>
          <w:color w:val="000000"/>
          <w:sz w:val="23"/>
          <w:szCs w:val="23"/>
        </w:rPr>
      </w:pPr>
    </w:p>
    <w:p w:rsidR="00EF291B" w:rsidRDefault="00EF291B">
      <w:pPr>
        <w:pStyle w:val="Heading4"/>
        <w:divId w:val="2099060955"/>
        <w:rPr>
          <w:color w:val="000000"/>
          <w:sz w:val="23"/>
          <w:szCs w:val="23"/>
        </w:rPr>
      </w:pPr>
    </w:p>
    <w:p w:rsidR="00EF291B" w:rsidRDefault="00EF291B">
      <w:pPr>
        <w:pStyle w:val="Heading4"/>
        <w:divId w:val="2099060955"/>
        <w:rPr>
          <w:color w:val="000000"/>
          <w:sz w:val="23"/>
          <w:szCs w:val="23"/>
        </w:rPr>
      </w:pPr>
    </w:p>
    <w:p w:rsidR="00AB7773" w:rsidRDefault="00AB7773">
      <w:pPr>
        <w:pStyle w:val="Heading4"/>
        <w:divId w:val="2099060955"/>
      </w:pPr>
      <w:r>
        <w:rPr>
          <w:color w:val="000000"/>
          <w:sz w:val="23"/>
          <w:szCs w:val="23"/>
        </w:rPr>
        <w:lastRenderedPageBreak/>
        <w:t>Student Enrollment by Subgroup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56"/>
        <w:gridCol w:w="3009"/>
      </w:tblGrid>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Total Enrollment</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0.5%</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0.3%</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55.4%</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2.5%</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36.9%</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2.8%</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41.8%</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7.9%</w:t>
            </w:r>
          </w:p>
        </w:tc>
      </w:tr>
    </w:tbl>
    <w:p w:rsidR="00AB7773" w:rsidRDefault="00AB7773">
      <w:pPr>
        <w:divId w:val="2099060955"/>
      </w:pPr>
    </w:p>
    <w:p w:rsidR="00AB7773" w:rsidRDefault="00AB7773">
      <w:pPr>
        <w:pStyle w:val="Heading4"/>
        <w:divId w:val="2099060955"/>
      </w:pPr>
      <w:r>
        <w:rPr>
          <w:color w:val="000000"/>
          <w:sz w:val="23"/>
          <w:szCs w:val="23"/>
        </w:rPr>
        <w:t>Average Class Size and Class Size Distribution (Elementary)</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64"/>
        <w:gridCol w:w="1142"/>
        <w:gridCol w:w="661"/>
        <w:gridCol w:w="785"/>
        <w:gridCol w:w="718"/>
        <w:gridCol w:w="1141"/>
        <w:gridCol w:w="661"/>
        <w:gridCol w:w="785"/>
        <w:gridCol w:w="718"/>
        <w:gridCol w:w="1141"/>
        <w:gridCol w:w="661"/>
        <w:gridCol w:w="785"/>
        <w:gridCol w:w="718"/>
      </w:tblGrid>
      <w:tr w:rsidR="00AB7773">
        <w:trPr>
          <w:divId w:val="209906095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rPr>
                <w:sz w:val="2"/>
              </w:rPr>
            </w:pPr>
            <w:r w:rsidRPr="00216093">
              <w:rPr>
                <w:rFonts w:ascii="Verdana" w:hAnsi="Verdana"/>
                <w:b/>
                <w:bCs/>
                <w:color w:val="FFFFFF"/>
                <w:sz w:val="18"/>
                <w:szCs w:val="18"/>
                <w:shd w:val="clear" w:color="auto" w:fill="1A4678"/>
              </w:rPr>
              <w:t>2008–09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rPr>
                <w:sz w:val="2"/>
              </w:rPr>
            </w:pPr>
            <w:r w:rsidRPr="00216093">
              <w:rPr>
                <w:rFonts w:ascii="Verdana" w:hAnsi="Verdana"/>
                <w:b/>
                <w:bCs/>
                <w:color w:val="FFFFFF"/>
                <w:sz w:val="18"/>
                <w:szCs w:val="18"/>
                <w:shd w:val="clear" w:color="auto" w:fill="1A4678"/>
              </w:rPr>
              <w:t>2009–10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rPr>
                <w:sz w:val="2"/>
              </w:rPr>
            </w:pPr>
            <w:r w:rsidRPr="00216093">
              <w:rPr>
                <w:rFonts w:ascii="Verdana" w:hAnsi="Verdana"/>
                <w:b/>
                <w:bCs/>
                <w:color w:val="FFFFFF"/>
                <w:sz w:val="18"/>
                <w:szCs w:val="18"/>
                <w:shd w:val="clear" w:color="auto" w:fill="1A4678"/>
              </w:rPr>
              <w:t>2010–11 Number of Classes*</w:t>
            </w:r>
          </w:p>
        </w:tc>
      </w:tr>
      <w:tr w:rsidR="00AB7773">
        <w:trPr>
          <w:divId w:val="20990609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AB7773" w:rsidRDefault="00AB7773"/>
        </w:tc>
        <w:tc>
          <w:tcPr>
            <w:tcW w:w="0" w:type="auto"/>
            <w:vMerge/>
            <w:tcBorders>
              <w:top w:val="single" w:sz="4" w:space="0" w:color="auto"/>
              <w:left w:val="single" w:sz="4" w:space="0" w:color="auto"/>
              <w:bottom w:val="single" w:sz="4" w:space="0" w:color="auto"/>
              <w:right w:val="single" w:sz="4" w:space="0" w:color="auto"/>
            </w:tcBorders>
            <w:vAlign w:val="center"/>
            <w:hideMark/>
          </w:tcPr>
          <w:p w:rsidR="00AB7773" w:rsidRDefault="00AB7773"/>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B7773" w:rsidRDefault="00AB7773"/>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B7773" w:rsidRDefault="00AB7773"/>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K</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17.75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18.0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19.57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18.8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19.57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19.6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19.57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29.7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32.67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31.3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32.67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34.0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32.67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Other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bl>
    <w:p w:rsidR="00AB7773" w:rsidRDefault="00AB7773">
      <w:pPr>
        <w:divId w:val="2099060955"/>
      </w:pPr>
      <w:r>
        <w:rPr>
          <w:rFonts w:ascii="Verdana" w:hAnsi="Verdana"/>
          <w:color w:val="555555"/>
          <w:sz w:val="17"/>
          <w:szCs w:val="17"/>
        </w:rPr>
        <w:t>* Number of classes indicates how many classes fall into each size category (a range of total students per classroom).</w:t>
      </w:r>
    </w:p>
    <w:p w:rsidR="00AB7773" w:rsidRDefault="00AB7773">
      <w:pPr>
        <w:pStyle w:val="Heading4"/>
        <w:divId w:val="2099060955"/>
      </w:pPr>
      <w:r>
        <w:rPr>
          <w:color w:val="000000"/>
          <w:sz w:val="23"/>
          <w:szCs w:val="23"/>
        </w:rPr>
        <w:t>Average Class Size and Class Size Distribution (Secondary)</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8"/>
        <w:gridCol w:w="1100"/>
        <w:gridCol w:w="632"/>
        <w:gridCol w:w="757"/>
        <w:gridCol w:w="690"/>
        <w:gridCol w:w="1100"/>
        <w:gridCol w:w="632"/>
        <w:gridCol w:w="757"/>
        <w:gridCol w:w="690"/>
        <w:gridCol w:w="1100"/>
        <w:gridCol w:w="632"/>
        <w:gridCol w:w="757"/>
        <w:gridCol w:w="690"/>
      </w:tblGrid>
      <w:tr w:rsidR="00AB7773">
        <w:trPr>
          <w:divId w:val="209906095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AB7773" w:rsidRDefault="00AB7773">
            <w:pPr>
              <w:rPr>
                <w:sz w:val="2"/>
              </w:rPr>
            </w:pPr>
            <w:r w:rsidRPr="00216093">
              <w:rPr>
                <w:rFonts w:ascii="Verdana" w:hAnsi="Verdana"/>
                <w:b/>
                <w:bCs/>
                <w:color w:val="FFFFFF"/>
                <w:sz w:val="18"/>
                <w:szCs w:val="18"/>
                <w:shd w:val="clear" w:color="auto" w:fill="1A4678"/>
              </w:rPr>
              <w:t>2008–09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AB7773" w:rsidRDefault="00AB7773">
            <w:pPr>
              <w:rPr>
                <w:sz w:val="2"/>
              </w:rPr>
            </w:pPr>
            <w:r w:rsidRPr="00216093">
              <w:rPr>
                <w:rFonts w:ascii="Verdana" w:hAnsi="Verdana"/>
                <w:b/>
                <w:bCs/>
                <w:color w:val="FFFFFF"/>
                <w:sz w:val="18"/>
                <w:szCs w:val="18"/>
                <w:shd w:val="clear" w:color="auto" w:fill="1A4678"/>
              </w:rPr>
              <w:t>2009–10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AB7773" w:rsidRDefault="00AB7773">
            <w:pPr>
              <w:rPr>
                <w:sz w:val="2"/>
              </w:rPr>
            </w:pPr>
            <w:r w:rsidRPr="00216093">
              <w:rPr>
                <w:rFonts w:ascii="Verdana" w:hAnsi="Verdana"/>
                <w:b/>
                <w:bCs/>
                <w:color w:val="FFFFFF"/>
                <w:sz w:val="18"/>
                <w:szCs w:val="18"/>
                <w:shd w:val="clear" w:color="auto" w:fill="1A4678"/>
              </w:rPr>
              <w:t>2010–11 Number of Classes*</w:t>
            </w:r>
          </w:p>
        </w:tc>
      </w:tr>
      <w:tr w:rsidR="00AB7773">
        <w:trPr>
          <w:divId w:val="20990609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AB7773" w:rsidRDefault="00AB7773"/>
        </w:tc>
        <w:tc>
          <w:tcPr>
            <w:tcW w:w="0" w:type="auto"/>
            <w:vMerge/>
            <w:tcBorders>
              <w:top w:val="single" w:sz="4" w:space="0" w:color="auto"/>
              <w:left w:val="single" w:sz="4" w:space="0" w:color="auto"/>
              <w:bottom w:val="single" w:sz="4" w:space="0" w:color="auto"/>
              <w:right w:val="single" w:sz="4" w:space="0" w:color="auto"/>
            </w:tcBorders>
            <w:vAlign w:val="center"/>
            <w:hideMark/>
          </w:tcPr>
          <w:p w:rsidR="00AB7773" w:rsidRDefault="00AB777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B7773" w:rsidRDefault="00AB777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B7773" w:rsidRDefault="00AB777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spacing w:line="0" w:lineRule="atLeast"/>
            </w:pPr>
            <w:r w:rsidRPr="00216093">
              <w:rPr>
                <w:rFonts w:ascii="Verdana" w:hAnsi="Verdana"/>
                <w:color w:val="666699"/>
                <w:sz w:val="17"/>
                <w:szCs w:val="17"/>
                <w:shd w:val="clear" w:color="auto" w:fill="FFFFCC"/>
              </w:rPr>
              <w:t>24.5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Heading2"/>
              <w:spacing w:line="0" w:lineRule="atLeast"/>
            </w:pPr>
            <w:r w:rsidRPr="00216093">
              <w:rPr>
                <w:rFonts w:ascii="Verdana" w:hAnsi="Verdana"/>
                <w:b w:val="0"/>
                <w:bCs w:val="0"/>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Heading2"/>
              <w:spacing w:line="0" w:lineRule="atLeast"/>
            </w:pPr>
            <w:r w:rsidRPr="00216093">
              <w:rPr>
                <w:rFonts w:ascii="Verdana" w:hAnsi="Verdana"/>
                <w:b w:val="0"/>
                <w:bCs w:val="0"/>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Heading2"/>
              <w:spacing w:line="0" w:lineRule="atLeast"/>
            </w:pPr>
            <w:r w:rsidRPr="00216093">
              <w:rPr>
                <w:rFonts w:ascii="Verdana" w:hAnsi="Verdana"/>
                <w:b w:val="0"/>
                <w:bCs w:val="0"/>
                <w:color w:val="666699"/>
                <w:sz w:val="17"/>
                <w:szCs w:val="17"/>
                <w:shd w:val="clear" w:color="auto" w:fill="FFFFCC"/>
              </w:rPr>
              <w:t>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spacing w:line="0" w:lineRule="atLeast"/>
            </w:pPr>
            <w:r w:rsidRPr="00216093">
              <w:rPr>
                <w:rFonts w:ascii="Verdana" w:hAnsi="Verdana"/>
                <w:color w:val="666699"/>
                <w:sz w:val="17"/>
                <w:szCs w:val="17"/>
                <w:shd w:val="clear" w:color="auto" w:fill="FFFFCC"/>
              </w:rPr>
              <w:t>27.0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Heading2"/>
              <w:spacing w:line="0" w:lineRule="atLeast"/>
            </w:pPr>
            <w:r w:rsidRPr="00216093">
              <w:rPr>
                <w:rFonts w:ascii="Verdana" w:hAnsi="Verdana"/>
                <w:b w:val="0"/>
                <w:bCs w:val="0"/>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Heading2"/>
              <w:spacing w:line="0" w:lineRule="atLeast"/>
            </w:pPr>
            <w:r w:rsidRPr="00216093">
              <w:rPr>
                <w:rFonts w:ascii="Verdana" w:hAnsi="Verdana"/>
                <w:b w:val="0"/>
                <w:bCs w:val="0"/>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Heading2"/>
              <w:spacing w:line="0" w:lineRule="atLeast"/>
            </w:pPr>
            <w:r w:rsidRPr="00216093">
              <w:rPr>
                <w:rFonts w:ascii="Verdana" w:hAnsi="Verdana"/>
                <w:b w:val="0"/>
                <w:bCs w:val="0"/>
                <w:color w:val="666699"/>
                <w:sz w:val="17"/>
                <w:szCs w:val="17"/>
                <w:shd w:val="clear" w:color="auto" w:fill="FFFFCC"/>
              </w:rPr>
              <w:t>8</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spacing w:line="0" w:lineRule="atLeast"/>
            </w:pPr>
            <w:r w:rsidRPr="00216093">
              <w:rPr>
                <w:rFonts w:ascii="Verdana" w:hAnsi="Verdana"/>
                <w:color w:val="666699"/>
                <w:sz w:val="17"/>
                <w:szCs w:val="17"/>
                <w:shd w:val="clear" w:color="auto" w:fill="FFFFCC"/>
              </w:rPr>
              <w:t>24.2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Heading2"/>
              <w:spacing w:line="0" w:lineRule="atLeast"/>
            </w:pPr>
            <w:r w:rsidRPr="00216093">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Heading2"/>
              <w:spacing w:line="0" w:lineRule="atLeast"/>
            </w:pPr>
            <w:r w:rsidRPr="00216093">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Heading2"/>
              <w:spacing w:line="0" w:lineRule="atLeast"/>
            </w:pPr>
            <w:r w:rsidRPr="00216093">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spacing w:line="0" w:lineRule="atLeast"/>
            </w:pPr>
            <w:r w:rsidRPr="00216093">
              <w:rPr>
                <w:rFonts w:ascii="Verdana" w:hAnsi="Verdana"/>
                <w:color w:val="666699"/>
                <w:sz w:val="17"/>
                <w:szCs w:val="17"/>
                <w:shd w:val="clear" w:color="auto" w:fill="FFFFCC"/>
              </w:rPr>
              <w:t>23.7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Heading2"/>
              <w:spacing w:line="0" w:lineRule="atLeast"/>
            </w:pPr>
            <w:r w:rsidRPr="00216093">
              <w:rPr>
                <w:rFonts w:ascii="Verdana" w:hAnsi="Verdana"/>
                <w:b w:val="0"/>
                <w:bCs w:val="0"/>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Heading2"/>
              <w:spacing w:line="0" w:lineRule="atLeast"/>
            </w:pPr>
            <w:r w:rsidRPr="00216093">
              <w:rPr>
                <w:rFonts w:ascii="Verdana" w:hAnsi="Verdana"/>
                <w:b w:val="0"/>
                <w:bCs w:val="0"/>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Heading2"/>
              <w:spacing w:line="0" w:lineRule="atLeast"/>
            </w:pPr>
            <w:r w:rsidRPr="00216093">
              <w:rPr>
                <w:rFonts w:ascii="Verdana" w:hAnsi="Verdana"/>
                <w:b w:val="0"/>
                <w:bCs w:val="0"/>
                <w:color w:val="666699"/>
                <w:sz w:val="17"/>
                <w:szCs w:val="17"/>
                <w:shd w:val="clear" w:color="auto" w:fill="FFFFCC"/>
              </w:rPr>
              <w:t>1</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spacing w:line="0" w:lineRule="atLeast"/>
            </w:pPr>
            <w:r w:rsidRPr="00216093">
              <w:rPr>
                <w:rFonts w:ascii="Verdana" w:hAnsi="Verdana"/>
                <w:color w:val="666699"/>
                <w:sz w:val="17"/>
                <w:szCs w:val="17"/>
                <w:shd w:val="clear" w:color="auto" w:fill="FFFFCC"/>
              </w:rPr>
              <w:t>19.0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Heading2"/>
              <w:spacing w:line="0" w:lineRule="atLeast"/>
            </w:pPr>
            <w:r w:rsidRPr="00216093">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Heading2"/>
              <w:spacing w:line="0" w:lineRule="atLeast"/>
            </w:pPr>
            <w:r w:rsidRPr="00216093">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Heading2"/>
              <w:spacing w:line="0" w:lineRule="atLeast"/>
            </w:pPr>
            <w:r w:rsidRPr="00216093">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spacing w:line="0" w:lineRule="atLeast"/>
            </w:pPr>
            <w:r w:rsidRPr="00216093">
              <w:rPr>
                <w:rFonts w:ascii="Verdana" w:hAnsi="Verdana"/>
                <w:color w:val="666699"/>
                <w:sz w:val="17"/>
                <w:szCs w:val="17"/>
                <w:shd w:val="clear" w:color="auto" w:fill="FFFFCC"/>
              </w:rPr>
              <w:t>31.1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Heading2"/>
              <w:spacing w:line="0" w:lineRule="atLeast"/>
            </w:pPr>
            <w:r w:rsidRPr="00216093">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Heading2"/>
              <w:spacing w:line="0" w:lineRule="atLeast"/>
            </w:pPr>
            <w:r w:rsidRPr="00216093">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Heading2"/>
              <w:spacing w:line="0" w:lineRule="atLeast"/>
            </w:pPr>
            <w:r w:rsidRPr="00216093">
              <w:rPr>
                <w:rFonts w:ascii="Verdana" w:hAnsi="Verdana"/>
                <w:b w:val="0"/>
                <w:bCs w:val="0"/>
                <w:color w:val="666699"/>
                <w:sz w:val="17"/>
                <w:szCs w:val="17"/>
                <w:shd w:val="clear" w:color="auto" w:fill="FFFFCC"/>
              </w:rPr>
              <w:t>4</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spacing w:line="0" w:lineRule="atLeast"/>
            </w:pPr>
            <w:r w:rsidRPr="00216093">
              <w:rPr>
                <w:rFonts w:ascii="Verdana" w:hAnsi="Verdana"/>
                <w:color w:val="666699"/>
                <w:sz w:val="17"/>
                <w:szCs w:val="17"/>
                <w:shd w:val="clear" w:color="auto" w:fill="FFFFCC"/>
              </w:rPr>
              <w:t>30.7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Heading2"/>
              <w:spacing w:line="0" w:lineRule="atLeast"/>
            </w:pPr>
            <w:r w:rsidRPr="00216093">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Heading2"/>
              <w:spacing w:line="0" w:lineRule="atLeast"/>
            </w:pPr>
            <w:r w:rsidRPr="00216093">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Heading2"/>
              <w:spacing w:line="0" w:lineRule="atLeast"/>
            </w:pPr>
            <w:r w:rsidRPr="00216093">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spacing w:line="0" w:lineRule="atLeast"/>
            </w:pPr>
            <w:r w:rsidRPr="00216093">
              <w:rPr>
                <w:rFonts w:ascii="Verdana" w:hAnsi="Verdana"/>
                <w:color w:val="666699"/>
                <w:sz w:val="17"/>
                <w:szCs w:val="17"/>
                <w:shd w:val="clear" w:color="auto" w:fill="FFFFCC"/>
              </w:rPr>
              <w:t>31.3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Heading2"/>
              <w:spacing w:line="0" w:lineRule="atLeast"/>
            </w:pPr>
            <w:r w:rsidRPr="00216093">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Heading2"/>
              <w:spacing w:line="0" w:lineRule="atLeast"/>
            </w:pPr>
            <w:r w:rsidRPr="00216093">
              <w:rPr>
                <w:rFonts w:ascii="Verdana" w:hAnsi="Verdana"/>
                <w:b w:val="0"/>
                <w:bCs w:val="0"/>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Heading2"/>
              <w:spacing w:line="0" w:lineRule="atLeast"/>
            </w:pPr>
            <w:r w:rsidRPr="00216093">
              <w:rPr>
                <w:rFonts w:ascii="Verdana" w:hAnsi="Verdana"/>
                <w:b w:val="0"/>
                <w:bCs w:val="0"/>
                <w:color w:val="666699"/>
                <w:sz w:val="17"/>
                <w:szCs w:val="17"/>
                <w:shd w:val="clear" w:color="auto" w:fill="FFFFCC"/>
              </w:rPr>
              <w:t>3</w:t>
            </w:r>
          </w:p>
        </w:tc>
      </w:tr>
    </w:tbl>
    <w:p w:rsidR="00AB7773" w:rsidRDefault="00AB7773">
      <w:pPr>
        <w:divId w:val="2099060955"/>
      </w:pPr>
      <w:r>
        <w:br/>
      </w:r>
    </w:p>
    <w:p w:rsidR="00AB7773" w:rsidRDefault="00AB7773">
      <w:pPr>
        <w:pStyle w:val="Heading2"/>
        <w:divId w:val="2099060955"/>
      </w:pPr>
      <w:r>
        <w:rPr>
          <w:rFonts w:ascii="Verdana" w:hAnsi="Verdana"/>
          <w:b w:val="0"/>
          <w:bCs w:val="0"/>
          <w:color w:val="555555"/>
          <w:sz w:val="17"/>
          <w:szCs w:val="17"/>
        </w:rPr>
        <w:t>* Number of classes indicates how many classrooms fall into each size category (a range of total students per classroom). At the secondary school level, this information is reported by subject area rather than grade level.</w:t>
      </w:r>
    </w:p>
    <w:p w:rsidR="00AB7773" w:rsidRDefault="00AB7773">
      <w:pPr>
        <w:divId w:val="2099060955"/>
      </w:pPr>
    </w:p>
    <w:p w:rsidR="00AB7773" w:rsidRDefault="00AB7773">
      <w:pPr>
        <w:pStyle w:val="Heading2"/>
        <w:divId w:val="2099060955"/>
      </w:pPr>
      <w:r>
        <w:rPr>
          <w:color w:val="000000"/>
          <w:sz w:val="32"/>
          <w:szCs w:val="32"/>
        </w:rPr>
        <w:t>III. School Climate</w:t>
      </w:r>
    </w:p>
    <w:p w:rsidR="00AB7773" w:rsidRDefault="00AB7773">
      <w:pPr>
        <w:pStyle w:val="Heading4"/>
        <w:divId w:val="2099060955"/>
      </w:pPr>
      <w:r>
        <w:rPr>
          <w:color w:val="000000"/>
          <w:sz w:val="23"/>
          <w:szCs w:val="23"/>
        </w:rPr>
        <w:t>School Safety Plan (School Year 2010–11)</w:t>
      </w:r>
    </w:p>
    <w:tbl>
      <w:tblPr>
        <w:tblW w:w="0" w:type="auto"/>
        <w:tblLook w:val="04A0"/>
      </w:tblPr>
      <w:tblGrid>
        <w:gridCol w:w="10950"/>
      </w:tblGrid>
      <w:tr w:rsidR="00AB7773">
        <w:trPr>
          <w:divId w:val="2099060955"/>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tcPr>
          <w:p w:rsidR="00AB7773" w:rsidRDefault="00AB7773">
            <w:pPr>
              <w:widowControl w:val="0"/>
              <w:autoSpaceDE w:val="0"/>
              <w:autoSpaceDN w:val="0"/>
              <w:adjustRightInd w:val="0"/>
              <w:rPr>
                <w:color w:val="000000"/>
                <w:sz w:val="18"/>
              </w:rPr>
            </w:pPr>
            <w:r w:rsidRPr="00216093">
              <w:rPr>
                <w:rFonts w:ascii="Arial" w:hAnsi="Arial" w:cs="Arial"/>
                <w:bCs/>
                <w:iCs/>
                <w:color w:val="000000"/>
                <w:sz w:val="18"/>
                <w:szCs w:val="28"/>
              </w:rPr>
              <w:t>The Safety of students and staff is a primary concern. The school complies with laws, rules, and regulations pertaining to hazardous materials and State earthquake standards. The school’s disaster drills are conducted regularly</w:t>
            </w:r>
            <w:r w:rsidRPr="00216093">
              <w:rPr>
                <w:color w:val="000000"/>
                <w:sz w:val="18"/>
              </w:rPr>
              <w:t xml:space="preserve"> </w:t>
            </w:r>
            <w:r w:rsidRPr="00216093">
              <w:rPr>
                <w:rFonts w:ascii="Arial" w:hAnsi="Arial" w:cs="Arial"/>
                <w:bCs/>
                <w:iCs/>
                <w:color w:val="000000"/>
                <w:sz w:val="18"/>
                <w:szCs w:val="28"/>
              </w:rPr>
              <w:t>throughout the school year. All visitors must check in at the school office and wear visitors’ badges while on school grounds.</w:t>
            </w:r>
            <w:r w:rsidRPr="00216093">
              <w:rPr>
                <w:color w:val="000000"/>
                <w:sz w:val="18"/>
              </w:rPr>
              <w:t xml:space="preserve">  </w:t>
            </w:r>
            <w:r w:rsidRPr="00216093">
              <w:rPr>
                <w:rFonts w:ascii="Arial" w:hAnsi="Arial" w:cs="Arial"/>
                <w:bCs/>
                <w:iCs/>
                <w:color w:val="000000"/>
                <w:sz w:val="18"/>
                <w:szCs w:val="28"/>
              </w:rPr>
              <w:t>During lunch, recesses, and before and after school, yard supervisors monitor students and</w:t>
            </w:r>
            <w:r w:rsidRPr="00216093">
              <w:rPr>
                <w:color w:val="000000"/>
                <w:sz w:val="18"/>
              </w:rPr>
              <w:t xml:space="preserve"> </w:t>
            </w:r>
            <w:r w:rsidRPr="00216093">
              <w:rPr>
                <w:rFonts w:ascii="Arial" w:hAnsi="Arial" w:cs="Arial"/>
                <w:bCs/>
                <w:iCs/>
                <w:color w:val="000000"/>
                <w:sz w:val="18"/>
                <w:szCs w:val="28"/>
              </w:rPr>
              <w:t>school grounds, including the cafeteria and playgrounds, to ensure a safe and orderly environment.</w:t>
            </w:r>
          </w:p>
          <w:p w:rsidR="00AB7773" w:rsidRPr="00216093" w:rsidRDefault="00AB7773">
            <w:pPr>
              <w:widowControl w:val="0"/>
              <w:autoSpaceDE w:val="0"/>
              <w:autoSpaceDN w:val="0"/>
              <w:adjustRightInd w:val="0"/>
              <w:rPr>
                <w:rFonts w:ascii="Arial" w:hAnsi="Arial" w:cs="Arial"/>
                <w:bCs/>
                <w:iCs/>
                <w:color w:val="000000"/>
                <w:sz w:val="18"/>
                <w:szCs w:val="28"/>
              </w:rPr>
            </w:pPr>
          </w:p>
          <w:p w:rsidR="00AB7773" w:rsidRDefault="00AB7773">
            <w:pPr>
              <w:widowControl w:val="0"/>
              <w:autoSpaceDE w:val="0"/>
              <w:autoSpaceDN w:val="0"/>
              <w:adjustRightInd w:val="0"/>
              <w:rPr>
                <w:color w:val="000000"/>
                <w:sz w:val="18"/>
              </w:rPr>
            </w:pPr>
            <w:r w:rsidRPr="00216093">
              <w:rPr>
                <w:rFonts w:ascii="Arial" w:hAnsi="Arial" w:cs="Arial"/>
                <w:bCs/>
                <w:iCs/>
                <w:color w:val="000000"/>
                <w:sz w:val="18"/>
                <w:szCs w:val="28"/>
              </w:rPr>
              <w:t>The Comprehensive School Safety Plan was developed by the School Site Council in cooperation with local law enforcement in</w:t>
            </w:r>
            <w:r w:rsidRPr="00216093">
              <w:rPr>
                <w:color w:val="000000"/>
                <w:sz w:val="18"/>
              </w:rPr>
              <w:t xml:space="preserve"> </w:t>
            </w:r>
            <w:r w:rsidRPr="00216093">
              <w:rPr>
                <w:rFonts w:ascii="Arial" w:hAnsi="Arial" w:cs="Arial"/>
                <w:bCs/>
                <w:iCs/>
                <w:color w:val="000000"/>
                <w:sz w:val="18"/>
                <w:szCs w:val="28"/>
              </w:rPr>
              <w:t>order to comply with Senate Bill 187 of 1997. The plan provides students and staff a means to ensure a safe and orderly learning</w:t>
            </w:r>
            <w:r w:rsidRPr="00216093">
              <w:rPr>
                <w:color w:val="000000"/>
                <w:sz w:val="18"/>
              </w:rPr>
              <w:t xml:space="preserve"> </w:t>
            </w:r>
            <w:r w:rsidRPr="00216093">
              <w:rPr>
                <w:rFonts w:ascii="Arial" w:hAnsi="Arial" w:cs="Arial"/>
                <w:bCs/>
                <w:iCs/>
                <w:color w:val="000000"/>
                <w:sz w:val="18"/>
                <w:szCs w:val="28"/>
              </w:rPr>
              <w:t>environment. Components of the Comprehensive School Safety Plan include child abuse reporting procedures, teacher</w:t>
            </w:r>
            <w:r w:rsidRPr="00216093">
              <w:rPr>
                <w:color w:val="000000"/>
                <w:sz w:val="18"/>
              </w:rPr>
              <w:t xml:space="preserve"> </w:t>
            </w:r>
            <w:r w:rsidRPr="00216093">
              <w:rPr>
                <w:rFonts w:ascii="Arial" w:hAnsi="Arial" w:cs="Arial"/>
                <w:bCs/>
                <w:iCs/>
                <w:color w:val="000000"/>
                <w:sz w:val="18"/>
                <w:szCs w:val="28"/>
              </w:rPr>
              <w:t>notification of dangerous pupils procedures, disaster response procedures, procedures for safe ingress and egress from school,</w:t>
            </w:r>
            <w:r w:rsidRPr="00216093">
              <w:rPr>
                <w:color w:val="000000"/>
                <w:sz w:val="18"/>
              </w:rPr>
              <w:t xml:space="preserve"> </w:t>
            </w:r>
            <w:r w:rsidRPr="00216093">
              <w:rPr>
                <w:rFonts w:ascii="Arial" w:hAnsi="Arial" w:cs="Arial"/>
                <w:bCs/>
                <w:iCs/>
                <w:color w:val="000000"/>
                <w:sz w:val="18"/>
                <w:szCs w:val="28"/>
              </w:rPr>
              <w:t>sexual harassment policy, and suspension and expulsion policies. The School Site Council evaluates the plan annually and</w:t>
            </w:r>
            <w:r w:rsidRPr="00216093">
              <w:rPr>
                <w:color w:val="000000"/>
                <w:sz w:val="18"/>
              </w:rPr>
              <w:t xml:space="preserve"> </w:t>
            </w:r>
            <w:r w:rsidRPr="00216093">
              <w:rPr>
                <w:rFonts w:ascii="Arial" w:hAnsi="Arial" w:cs="Arial"/>
                <w:bCs/>
                <w:iCs/>
                <w:color w:val="000000"/>
                <w:sz w:val="18"/>
                <w:szCs w:val="28"/>
              </w:rPr>
              <w:t>updates the plan as needed. The plan was last updated and reviewed with school staff in March 2010. An updated copy is</w:t>
            </w:r>
            <w:r w:rsidRPr="00216093">
              <w:rPr>
                <w:color w:val="000000"/>
                <w:sz w:val="18"/>
              </w:rPr>
              <w:t xml:space="preserve"> </w:t>
            </w:r>
            <w:r w:rsidRPr="00216093">
              <w:rPr>
                <w:rFonts w:ascii="Arial" w:hAnsi="Arial" w:cs="Arial"/>
                <w:bCs/>
                <w:iCs/>
                <w:color w:val="000000"/>
                <w:sz w:val="18"/>
                <w:szCs w:val="28"/>
              </w:rPr>
              <w:t>available to the public at the school and district offices.</w:t>
            </w:r>
          </w:p>
        </w:tc>
      </w:tr>
    </w:tbl>
    <w:p w:rsidR="00AB7773" w:rsidRDefault="00AB7773">
      <w:pPr>
        <w:divId w:val="2099060955"/>
      </w:pPr>
    </w:p>
    <w:p w:rsidR="00AB7773" w:rsidRDefault="00AB7773">
      <w:pPr>
        <w:pStyle w:val="Heading4"/>
        <w:divId w:val="2099060955"/>
      </w:pPr>
      <w:r>
        <w:rPr>
          <w:color w:val="000000"/>
          <w:sz w:val="23"/>
          <w:szCs w:val="23"/>
        </w:rPr>
        <w:t>Suspensions and Expulsions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85"/>
        <w:gridCol w:w="1561"/>
        <w:gridCol w:w="1560"/>
        <w:gridCol w:w="1560"/>
        <w:gridCol w:w="1628"/>
        <w:gridCol w:w="1628"/>
        <w:gridCol w:w="1628"/>
      </w:tblGrid>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Rate*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Suspensions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3.83%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2.35%</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Expulsions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0.30%</w:t>
            </w:r>
          </w:p>
        </w:tc>
      </w:tr>
    </w:tbl>
    <w:p w:rsidR="00AB7773" w:rsidRDefault="00AB7773">
      <w:pPr>
        <w:divId w:val="2099060955"/>
      </w:pPr>
      <w:r>
        <w:br/>
      </w:r>
      <w:r>
        <w:rPr>
          <w:rFonts w:ascii="Verdana" w:hAnsi="Verdana"/>
          <w:color w:val="555555"/>
          <w:sz w:val="17"/>
          <w:szCs w:val="17"/>
        </w:rPr>
        <w:t>* The rate of suspensions and expulsions is calculated by dividing the total number of incidents by the total enrollment.</w:t>
      </w:r>
    </w:p>
    <w:p w:rsidR="00AB7773" w:rsidRDefault="00AB7773">
      <w:pPr>
        <w:pStyle w:val="Heading2"/>
        <w:divId w:val="2099060955"/>
      </w:pPr>
      <w:r>
        <w:rPr>
          <w:color w:val="000000"/>
          <w:sz w:val="32"/>
          <w:szCs w:val="32"/>
        </w:rPr>
        <w:t>IV. School Facilities</w:t>
      </w:r>
    </w:p>
    <w:p w:rsidR="00AB7773" w:rsidRDefault="00AB7773">
      <w:pPr>
        <w:pStyle w:val="Heading4"/>
        <w:divId w:val="2099060955"/>
      </w:pPr>
      <w:r>
        <w:rPr>
          <w:color w:val="000000"/>
          <w:sz w:val="23"/>
          <w:szCs w:val="23"/>
        </w:rPr>
        <w:t>School Facility Conditions and Planned Improvements (School Year 2011–12)</w:t>
      </w:r>
    </w:p>
    <w:tbl>
      <w:tblPr>
        <w:tblW w:w="0" w:type="auto"/>
        <w:tblLook w:val="04A0"/>
      </w:tblPr>
      <w:tblGrid>
        <w:gridCol w:w="5604"/>
      </w:tblGrid>
      <w:tr w:rsidR="00AB7773">
        <w:trPr>
          <w:divId w:val="2099060955"/>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rPr>
                <w:rFonts w:ascii="Arial" w:hAnsi="Arial" w:cs="Arial"/>
                <w:sz w:val="20"/>
                <w:szCs w:val="20"/>
              </w:rPr>
            </w:pPr>
            <w:r>
              <w:rPr>
                <w:rFonts w:ascii="Arial" w:hAnsi="Arial" w:cs="Arial"/>
                <w:bCs/>
                <w:sz w:val="20"/>
                <w:szCs w:val="20"/>
              </w:rPr>
              <w:t>No major repairs or improvements are scheduled at this time.</w:t>
            </w:r>
          </w:p>
        </w:tc>
      </w:tr>
    </w:tbl>
    <w:p w:rsidR="00AB7773" w:rsidRDefault="00AB7773">
      <w:pPr>
        <w:pStyle w:val="Heading4"/>
        <w:divId w:val="2099060955"/>
      </w:pPr>
      <w:r>
        <w:rPr>
          <w:color w:val="000000"/>
          <w:sz w:val="23"/>
          <w:szCs w:val="23"/>
        </w:rPr>
        <w:t>School Facility Good Repair Status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25"/>
        <w:gridCol w:w="1209"/>
        <w:gridCol w:w="691"/>
        <w:gridCol w:w="567"/>
        <w:gridCol w:w="643"/>
        <w:gridCol w:w="3415"/>
      </w:tblGrid>
      <w:tr w:rsidR="00AB7773">
        <w:trPr>
          <w:divId w:val="209906095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System Inspected</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rPr>
                <w:sz w:val="2"/>
              </w:rPr>
            </w:pPr>
            <w:r w:rsidRPr="00216093">
              <w:rPr>
                <w:rFonts w:ascii="Verdana" w:hAnsi="Verdana"/>
                <w:b/>
                <w:bCs/>
                <w:color w:val="FFFFFF"/>
                <w:sz w:val="18"/>
                <w:szCs w:val="18"/>
                <w:shd w:val="clear" w:color="auto" w:fill="1A4678"/>
              </w:rPr>
              <w:t>Repair Status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Repair Needed and Action Taken or Planned</w:t>
            </w:r>
          </w:p>
        </w:tc>
      </w:tr>
      <w:tr w:rsidR="00AB7773">
        <w:trPr>
          <w:divId w:val="20990609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AB7773" w:rsidRDefault="00AB7773"/>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Exemplary</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Good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Fair</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Poor</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B7773" w:rsidRDefault="00AB7773"/>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Systems: </w:t>
            </w:r>
            <w:r>
              <w:rPr>
                <w:rFonts w:ascii="Verdana" w:hAnsi="Verdana"/>
                <w:color w:val="666699"/>
                <w:sz w:val="17"/>
                <w:szCs w:val="17"/>
                <w:shd w:val="clear" w:color="auto" w:fill="FFFFCC"/>
              </w:rPr>
              <w:t>Gas Leaks, Mechanical/HVAC, Sewer</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Interior: </w:t>
            </w:r>
            <w:r>
              <w:rPr>
                <w:rFonts w:ascii="Verdana" w:hAnsi="Verdana"/>
                <w:color w:val="666699"/>
                <w:sz w:val="17"/>
                <w:szCs w:val="17"/>
                <w:shd w:val="clear" w:color="auto" w:fill="FFFFCC"/>
              </w:rPr>
              <w:t>Interior Surfaces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Some classrooms have ceiling tiles that need to be replaced.</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Cleanliness: </w:t>
            </w:r>
            <w:r>
              <w:rPr>
                <w:rFonts w:ascii="Verdana" w:hAnsi="Verdana"/>
                <w:color w:val="666699"/>
                <w:sz w:val="17"/>
                <w:szCs w:val="17"/>
                <w:shd w:val="clear" w:color="auto" w:fill="FFFFCC"/>
              </w:rPr>
              <w:t>Overall Cleanliness, Pest/ Vermin Infestation</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Restrooms/Fountains: </w:t>
            </w:r>
            <w:r>
              <w:rPr>
                <w:rFonts w:ascii="Verdana" w:hAnsi="Verdana"/>
                <w:color w:val="666699"/>
                <w:sz w:val="17"/>
                <w:szCs w:val="17"/>
                <w:shd w:val="clear" w:color="auto" w:fill="FFFFCC"/>
              </w:rPr>
              <w:t>Restrooms, Sinks/ Fountains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Safety: </w:t>
            </w:r>
            <w:r>
              <w:rPr>
                <w:rFonts w:ascii="Verdana" w:hAnsi="Verdana"/>
                <w:color w:val="666699"/>
                <w:sz w:val="17"/>
                <w:szCs w:val="17"/>
                <w:shd w:val="clear" w:color="auto" w:fill="FFFFCC"/>
              </w:rPr>
              <w:t>Fire Safety, Hazardous Materials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Structural: </w:t>
            </w:r>
            <w:r>
              <w:rPr>
                <w:rFonts w:ascii="Verdana" w:hAnsi="Verdana"/>
                <w:color w:val="666699"/>
                <w:sz w:val="17"/>
                <w:szCs w:val="17"/>
                <w:shd w:val="clear" w:color="auto" w:fill="FFFFCC"/>
              </w:rPr>
              <w:t>Structural Damage, Roofs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External: </w:t>
            </w:r>
            <w:r>
              <w:rPr>
                <w:rFonts w:ascii="Verdana" w:hAnsi="Verdana"/>
                <w:color w:val="666699"/>
                <w:sz w:val="17"/>
                <w:szCs w:val="17"/>
                <w:shd w:val="clear" w:color="auto" w:fill="FFFFCC"/>
              </w:rPr>
              <w:t>Playground/School Grounds, Windows/ Doors/Gates/Fences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Overall Rating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vAlign w:val="center"/>
            <w:hideMark/>
          </w:tcPr>
          <w:p w:rsidR="00AB7773" w:rsidRDefault="00AB7773">
            <w:pPr>
              <w:rPr>
                <w:sz w:val="20"/>
                <w:szCs w:val="20"/>
              </w:rPr>
            </w:pPr>
          </w:p>
        </w:tc>
      </w:tr>
    </w:tbl>
    <w:p w:rsidR="00AB7773" w:rsidRDefault="00AB7773">
      <w:pPr>
        <w:divId w:val="2099060955"/>
      </w:pPr>
      <w:r>
        <w:br/>
      </w:r>
      <w:r>
        <w:rPr>
          <w:rFonts w:ascii="Verdana" w:hAnsi="Verdana"/>
          <w:color w:val="555555"/>
          <w:sz w:val="17"/>
          <w:szCs w:val="17"/>
        </w:rPr>
        <w:t>Note: Cells shaded in black do not require data.</w:t>
      </w:r>
    </w:p>
    <w:p w:rsidR="00AB7773" w:rsidRDefault="00AB7773">
      <w:pPr>
        <w:pStyle w:val="Heading2"/>
        <w:divId w:val="2099060955"/>
      </w:pPr>
      <w:r>
        <w:rPr>
          <w:color w:val="000000"/>
          <w:sz w:val="32"/>
          <w:szCs w:val="32"/>
        </w:rPr>
        <w:lastRenderedPageBreak/>
        <w:t>V. Teachers</w:t>
      </w:r>
    </w:p>
    <w:p w:rsidR="00AB7773" w:rsidRDefault="00AB7773">
      <w:pPr>
        <w:pStyle w:val="Heading4"/>
        <w:divId w:val="2099060955"/>
      </w:pPr>
      <w:r>
        <w:rPr>
          <w:color w:val="000000"/>
          <w:sz w:val="23"/>
          <w:szCs w:val="23"/>
        </w:rPr>
        <w:t>Teacher Credentials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94"/>
        <w:gridCol w:w="1522"/>
        <w:gridCol w:w="1522"/>
        <w:gridCol w:w="1522"/>
        <w:gridCol w:w="1590"/>
      </w:tblGrid>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35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35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694</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Teaching Outside Subject Area of Competence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10</w:t>
            </w:r>
          </w:p>
        </w:tc>
      </w:tr>
    </w:tbl>
    <w:p w:rsidR="00AB7773" w:rsidRDefault="00AB7773">
      <w:pPr>
        <w:divId w:val="2099060955"/>
      </w:pPr>
    </w:p>
    <w:p w:rsidR="00AB7773" w:rsidRDefault="00AB7773">
      <w:pPr>
        <w:pStyle w:val="Heading4"/>
        <w:divId w:val="2099060955"/>
      </w:pPr>
      <w:r>
        <w:rPr>
          <w:color w:val="000000"/>
          <w:sz w:val="23"/>
          <w:szCs w:val="23"/>
        </w:rPr>
        <w:t xml:space="preserve">Teacher </w:t>
      </w:r>
      <w:proofErr w:type="spellStart"/>
      <w:r>
        <w:rPr>
          <w:color w:val="000000"/>
          <w:sz w:val="23"/>
          <w:szCs w:val="23"/>
        </w:rPr>
        <w:t>Misassignments</w:t>
      </w:r>
      <w:proofErr w:type="spellEnd"/>
      <w:r>
        <w:rPr>
          <w:color w:val="000000"/>
          <w:sz w:val="23"/>
          <w:szCs w:val="23"/>
        </w:rPr>
        <w:t xml:space="preserve"> and Vacant Teacher Positions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78"/>
        <w:gridCol w:w="1126"/>
        <w:gridCol w:w="1126"/>
        <w:gridCol w:w="1126"/>
      </w:tblGrid>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2011–12</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 xml:space="preserve"> of Teachers of English Learners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Total Teacher </w:t>
            </w: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Vacant Teacher Positions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18</w:t>
            </w:r>
          </w:p>
        </w:tc>
      </w:tr>
    </w:tbl>
    <w:p w:rsidR="00AB7773" w:rsidRDefault="00AB7773">
      <w:pPr>
        <w:divId w:val="2099060955"/>
      </w:pPr>
      <w:r>
        <w:br/>
      </w:r>
      <w:r>
        <w:rPr>
          <w:rFonts w:ascii="Verdana" w:hAnsi="Verdana"/>
          <w:color w:val="555555"/>
          <w:sz w:val="17"/>
          <w:szCs w:val="17"/>
        </w:rPr>
        <w:t>Note: “</w:t>
      </w:r>
      <w:proofErr w:type="spellStart"/>
      <w:r>
        <w:rPr>
          <w:rFonts w:ascii="Verdana" w:hAnsi="Verdana"/>
          <w:color w:val="555555"/>
          <w:sz w:val="17"/>
          <w:szCs w:val="17"/>
        </w:rPr>
        <w:t>Misassignments</w:t>
      </w:r>
      <w:proofErr w:type="spellEnd"/>
      <w:r>
        <w:rPr>
          <w:rFonts w:ascii="Verdana" w:hAnsi="Verdana"/>
          <w:color w:val="555555"/>
          <w:sz w:val="17"/>
          <w:szCs w:val="17"/>
        </w:rPr>
        <w:t>” refers to the number of positions filled by teachers who lack legal authorization to teach that grade level, subject area, student group, etc.</w:t>
      </w:r>
      <w:r>
        <w:br/>
      </w:r>
      <w:r>
        <w:br/>
      </w:r>
      <w:r>
        <w:rPr>
          <w:rFonts w:ascii="Verdana" w:hAnsi="Verdana"/>
          <w:color w:val="555555"/>
          <w:sz w:val="17"/>
          <w:szCs w:val="17"/>
        </w:rPr>
        <w:t xml:space="preserve">* </w:t>
      </w:r>
      <w:r>
        <w:rPr>
          <w:rFonts w:ascii="Verdana" w:hAnsi="Verdana"/>
          <w:i/>
          <w:iCs/>
          <w:color w:val="555555"/>
          <w:sz w:val="17"/>
          <w:szCs w:val="17"/>
        </w:rPr>
        <w:t xml:space="preserve">Total Teacher </w:t>
      </w:r>
      <w:proofErr w:type="spellStart"/>
      <w:r>
        <w:rPr>
          <w:rFonts w:ascii="Verdana" w:hAnsi="Verdana"/>
          <w:i/>
          <w:iCs/>
          <w:color w:val="555555"/>
          <w:sz w:val="17"/>
          <w:szCs w:val="17"/>
        </w:rPr>
        <w:t>Misassignments</w:t>
      </w:r>
      <w:proofErr w:type="spellEnd"/>
      <w:r>
        <w:rPr>
          <w:rFonts w:ascii="Verdana" w:hAnsi="Verdana"/>
          <w:color w:val="555555"/>
          <w:sz w:val="17"/>
          <w:szCs w:val="17"/>
        </w:rPr>
        <w:t xml:space="preserve"> includes the number of </w:t>
      </w:r>
      <w:proofErr w:type="spellStart"/>
      <w:r>
        <w:rPr>
          <w:rFonts w:ascii="Verdana" w:hAnsi="Verdana"/>
          <w:i/>
          <w:iCs/>
          <w:color w:val="555555"/>
          <w:sz w:val="17"/>
          <w:szCs w:val="17"/>
        </w:rPr>
        <w:t>Misassignments</w:t>
      </w:r>
      <w:proofErr w:type="spellEnd"/>
      <w:r>
        <w:rPr>
          <w:rFonts w:ascii="Verdana" w:hAnsi="Verdana"/>
          <w:i/>
          <w:iCs/>
          <w:color w:val="555555"/>
          <w:sz w:val="17"/>
          <w:szCs w:val="17"/>
        </w:rPr>
        <w:t xml:space="preserve"> of Teachers of English Learners</w:t>
      </w:r>
      <w:r>
        <w:rPr>
          <w:rFonts w:ascii="Verdana" w:hAnsi="Verdana"/>
          <w:color w:val="555555"/>
          <w:sz w:val="17"/>
          <w:szCs w:val="17"/>
        </w:rPr>
        <w:t>.</w:t>
      </w:r>
    </w:p>
    <w:p w:rsidR="00AB7773" w:rsidRDefault="00AB7773">
      <w:pPr>
        <w:pStyle w:val="Heading4"/>
        <w:divId w:val="2099060955"/>
      </w:pPr>
      <w:r>
        <w:rPr>
          <w:color w:val="000000"/>
          <w:sz w:val="23"/>
          <w:szCs w:val="23"/>
        </w:rPr>
        <w:t>Core Academic Classes Taught by Highly Qualified Teachers (School Year 2010–11)</w:t>
      </w:r>
    </w:p>
    <w:p w:rsidR="00AB7773" w:rsidRDefault="00AB7773">
      <w:pPr>
        <w:divId w:val="2099060955"/>
        <w:rPr>
          <w:rFonts w:ascii="Verdana" w:hAnsi="Verdana"/>
          <w:color w:val="555555"/>
          <w:sz w:val="17"/>
          <w:szCs w:val="17"/>
        </w:rPr>
      </w:pPr>
      <w:r>
        <w:rPr>
          <w:rFonts w:ascii="Verdana" w:hAnsi="Verdana"/>
          <w:color w:val="555555"/>
          <w:sz w:val="17"/>
          <w:szCs w:val="17"/>
        </w:rPr>
        <w:t xml:space="preserve">The Federal Elementary and Secondary Education Act (ESEA), also known as No Child Left Behind (NCLB), requires that core academic subjects be taught by Highly Qualified Teachers, defined as having at least a bachelor’s degree, an appropriate California teaching credential, and demonstrated core academic subject area competence. For more information, see the CDE </w:t>
      </w:r>
      <w:r>
        <w:rPr>
          <w:rFonts w:ascii="Verdana" w:hAnsi="Verdana"/>
          <w:i/>
          <w:iCs/>
          <w:color w:val="555555"/>
          <w:sz w:val="17"/>
          <w:szCs w:val="17"/>
        </w:rPr>
        <w:t>Improving Teacher and Principal Quality</w:t>
      </w:r>
      <w:r>
        <w:rPr>
          <w:rFonts w:ascii="Verdana" w:hAnsi="Verdana"/>
          <w:color w:val="555555"/>
          <w:sz w:val="17"/>
          <w:szCs w:val="17"/>
        </w:rPr>
        <w:t xml:space="preserve"> Web page at:</w:t>
      </w:r>
      <w:hyperlink r:id="rId7" w:history="1">
        <w:r>
          <w:rPr>
            <w:rStyle w:val="Hyperlink"/>
            <w:rFonts w:ascii="Verdana" w:hAnsi="Verdana"/>
            <w:color w:val="555555"/>
            <w:sz w:val="17"/>
            <w:szCs w:val="17"/>
          </w:rPr>
          <w:t xml:space="preserve"> http://www.cde.ca.gov/nclb/sr/tq/</w:t>
        </w:r>
      </w:hyperlink>
      <w:r>
        <w:rPr>
          <w:rFonts w:ascii="Verdana" w:hAnsi="Verdana"/>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14"/>
        <w:gridCol w:w="4378"/>
        <w:gridCol w:w="4558"/>
      </w:tblGrid>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Location of Classes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Taught by Highly Qualified 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Not Taught by Highly Qualified Teachers</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This School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0.00%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0.69%</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0.69%</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Low-Poverty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0.00%</w:t>
            </w:r>
          </w:p>
        </w:tc>
      </w:tr>
    </w:tbl>
    <w:p w:rsidR="00AB7773" w:rsidRDefault="00AB7773">
      <w:pPr>
        <w:divId w:val="2099060955"/>
        <w:rPr>
          <w:color w:val="555555"/>
        </w:rPr>
      </w:pPr>
      <w:r>
        <w:rPr>
          <w:color w:val="555555"/>
        </w:rPr>
        <w:br/>
      </w:r>
      <w:r>
        <w:rPr>
          <w:rFonts w:ascii="Verdana" w:hAnsi="Verdana"/>
          <w:color w:val="555555"/>
          <w:sz w:val="17"/>
          <w:szCs w:val="17"/>
        </w:rPr>
        <w:t>Note: High-poverty schools are defined as those schools with student eligibility of approximately 40 percent or more in the free and reduced price meals program. Low-poverty schools are those with student eligibility of approximately 25 percent or less in the free and reduced price meals program.</w:t>
      </w:r>
    </w:p>
    <w:p w:rsidR="00EF291B" w:rsidRDefault="00EF291B">
      <w:pPr>
        <w:pStyle w:val="Heading2"/>
        <w:divId w:val="2099060955"/>
        <w:rPr>
          <w:color w:val="000000"/>
          <w:sz w:val="32"/>
          <w:szCs w:val="32"/>
        </w:rPr>
      </w:pPr>
    </w:p>
    <w:p w:rsidR="00EF291B" w:rsidRDefault="00EF291B">
      <w:pPr>
        <w:pStyle w:val="Heading2"/>
        <w:divId w:val="2099060955"/>
        <w:rPr>
          <w:color w:val="000000"/>
          <w:sz w:val="32"/>
          <w:szCs w:val="32"/>
        </w:rPr>
      </w:pPr>
    </w:p>
    <w:p w:rsidR="00EF291B" w:rsidRDefault="00EF291B">
      <w:pPr>
        <w:pStyle w:val="Heading2"/>
        <w:divId w:val="2099060955"/>
        <w:rPr>
          <w:color w:val="000000"/>
          <w:sz w:val="32"/>
          <w:szCs w:val="32"/>
        </w:rPr>
      </w:pPr>
    </w:p>
    <w:p w:rsidR="00EF291B" w:rsidRDefault="00EF291B">
      <w:pPr>
        <w:pStyle w:val="Heading2"/>
        <w:divId w:val="2099060955"/>
        <w:rPr>
          <w:color w:val="000000"/>
          <w:sz w:val="32"/>
          <w:szCs w:val="32"/>
        </w:rPr>
      </w:pPr>
    </w:p>
    <w:p w:rsidR="00EF291B" w:rsidRDefault="00EF291B">
      <w:pPr>
        <w:pStyle w:val="Heading2"/>
        <w:divId w:val="2099060955"/>
        <w:rPr>
          <w:color w:val="000000"/>
          <w:sz w:val="32"/>
          <w:szCs w:val="32"/>
        </w:rPr>
      </w:pPr>
    </w:p>
    <w:p w:rsidR="00EF291B" w:rsidRDefault="00EF291B">
      <w:pPr>
        <w:pStyle w:val="Heading2"/>
        <w:divId w:val="2099060955"/>
        <w:rPr>
          <w:color w:val="000000"/>
          <w:sz w:val="32"/>
          <w:szCs w:val="32"/>
        </w:rPr>
      </w:pPr>
    </w:p>
    <w:p w:rsidR="00AB7773" w:rsidRDefault="00AB7773">
      <w:pPr>
        <w:pStyle w:val="Heading2"/>
        <w:divId w:val="2099060955"/>
      </w:pPr>
      <w:r>
        <w:rPr>
          <w:color w:val="000000"/>
          <w:sz w:val="32"/>
          <w:szCs w:val="32"/>
        </w:rPr>
        <w:lastRenderedPageBreak/>
        <w:t>VI. Support Staff</w:t>
      </w:r>
    </w:p>
    <w:p w:rsidR="00AB7773" w:rsidRDefault="00AB7773">
      <w:pPr>
        <w:pStyle w:val="Heading4"/>
        <w:divId w:val="2099060955"/>
      </w:pPr>
      <w:r>
        <w:rPr>
          <w:color w:val="000000"/>
          <w:sz w:val="23"/>
          <w:szCs w:val="23"/>
        </w:rPr>
        <w:t>Academic Counselors and Other Support Staff (School Year 2010–11)</w:t>
      </w:r>
    </w:p>
    <w:tbl>
      <w:tblPr>
        <w:tblW w:w="0" w:type="auto"/>
        <w:tblLook w:val="04A0"/>
      </w:tblPr>
      <w:tblGrid>
        <w:gridCol w:w="4327"/>
        <w:gridCol w:w="2746"/>
        <w:gridCol w:w="3877"/>
      </w:tblGrid>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Title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FTE* Assigned to 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Number of Students per Academic Counselor</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Academic Counselor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Counselor (Social/Behavioral or Career Development)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Teacher (librarian)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Services Staff (paraprofessional)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Psychologist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Worker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Nurse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0.5</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Speech/Language/Hearing Specialist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Resource Specialist (non-teaching)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Other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r>
    </w:tbl>
    <w:p w:rsidR="00AB7773" w:rsidRDefault="00AB7773">
      <w:pPr>
        <w:divId w:val="2099060955"/>
        <w:rPr>
          <w:color w:val="555555"/>
        </w:rPr>
      </w:pPr>
      <w:r>
        <w:rPr>
          <w:color w:val="555555"/>
        </w:rPr>
        <w:br/>
      </w:r>
      <w:r>
        <w:rPr>
          <w:rFonts w:ascii="Verdana" w:hAnsi="Verdana"/>
          <w:color w:val="555555"/>
          <w:sz w:val="17"/>
          <w:szCs w:val="17"/>
        </w:rPr>
        <w:t>Note: Cells shaded in black do not require data.</w:t>
      </w:r>
      <w:r>
        <w:rPr>
          <w:color w:val="555555"/>
        </w:rPr>
        <w:br/>
      </w:r>
      <w:r>
        <w:rPr>
          <w:rFonts w:ascii="Verdana" w:hAnsi="Verdana"/>
          <w:color w:val="555555"/>
          <w:sz w:val="17"/>
          <w:szCs w:val="17"/>
        </w:rPr>
        <w:t>* One Full-Time Equivalent (FTE) equals one staff member working full-time; one FTE could also represent two staff members who each work 50 percent of full-time.</w:t>
      </w:r>
    </w:p>
    <w:p w:rsidR="00AB7773" w:rsidRDefault="00AB7773">
      <w:pPr>
        <w:pStyle w:val="Heading2"/>
        <w:divId w:val="2099060955"/>
      </w:pPr>
      <w:r>
        <w:rPr>
          <w:color w:val="000000"/>
          <w:sz w:val="32"/>
          <w:szCs w:val="32"/>
        </w:rPr>
        <w:t>VII. Curriculum and Instructional Materials</w:t>
      </w:r>
    </w:p>
    <w:p w:rsidR="00AB7773" w:rsidRDefault="00AB7773">
      <w:pPr>
        <w:pStyle w:val="Heading4"/>
        <w:divId w:val="2099060955"/>
      </w:pPr>
      <w:r>
        <w:rPr>
          <w:color w:val="000000"/>
          <w:sz w:val="23"/>
          <w:szCs w:val="23"/>
        </w:rPr>
        <w:t>Quality, Currency, Availability of Textbooks and Instructional Materials (School Year 2011–12)</w:t>
      </w:r>
    </w:p>
    <w:p w:rsidR="00AB7773" w:rsidRDefault="00AB7773">
      <w:pPr>
        <w:divId w:val="2099060955"/>
        <w:rPr>
          <w:color w:val="555555"/>
        </w:rPr>
      </w:pPr>
      <w:r>
        <w:rPr>
          <w:rFonts w:ascii="Verdana" w:hAnsi="Verdana"/>
          <w:color w:val="555555"/>
          <w:sz w:val="17"/>
          <w:szCs w:val="17"/>
        </w:rPr>
        <w:t>This section describes whether the textbooks and instructional materials used at the school are from the most recent adoption; whether there are sufficient textbooks and instruction materials for each student; and information about the school’s use of any supplemental curriculum or non-adopted textbooks or instructional materials.</w:t>
      </w:r>
    </w:p>
    <w:p w:rsidR="00AB7773" w:rsidRDefault="00AB7773">
      <w:pPr>
        <w:pStyle w:val="Heading2"/>
        <w:divId w:val="2099060955"/>
      </w:pPr>
      <w:r>
        <w:rPr>
          <w:rFonts w:ascii="Verdana" w:hAnsi="Verdana"/>
          <w:color w:val="555555"/>
          <w:sz w:val="17"/>
          <w:szCs w:val="17"/>
        </w:rPr>
        <w:t>Year and month in which data were collected: December 2011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91"/>
        <w:gridCol w:w="3421"/>
        <w:gridCol w:w="1955"/>
        <w:gridCol w:w="2553"/>
      </w:tblGrid>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Textbooks and instructional materials/year of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From most recent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students lacking own assigned copy</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jc w:val="center"/>
            </w:pPr>
            <w:r>
              <w:rPr>
                <w:rFonts w:ascii="Verdana" w:hAnsi="Verdana"/>
                <w:color w:val="666699"/>
                <w:sz w:val="17"/>
                <w:szCs w:val="17"/>
                <w:shd w:val="clear" w:color="auto" w:fill="FFFFCC"/>
              </w:rPr>
              <w:t>K-5: Houghton Mifflin, 2009</w:t>
            </w:r>
          </w:p>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 xml:space="preserve">6-8: McDougal </w:t>
            </w:r>
            <w:proofErr w:type="spellStart"/>
            <w:r>
              <w:rPr>
                <w:rFonts w:ascii="Verdana" w:hAnsi="Verdana"/>
                <w:color w:val="666699"/>
                <w:sz w:val="17"/>
                <w:szCs w:val="17"/>
                <w:shd w:val="clear" w:color="auto" w:fill="FFFFCC"/>
              </w:rPr>
              <w:t>Littell</w:t>
            </w:r>
            <w:proofErr w:type="spellEnd"/>
            <w:r>
              <w:rPr>
                <w:rFonts w:ascii="Verdana" w:hAnsi="Verdana"/>
                <w:color w:val="666699"/>
                <w:sz w:val="17"/>
                <w:szCs w:val="17"/>
                <w:shd w:val="clear" w:color="auto" w:fill="FFFFCC"/>
              </w:rPr>
              <w:t>, 2002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jc w:val="center"/>
            </w:pPr>
            <w:r>
              <w:rPr>
                <w:rFonts w:ascii="Verdana" w:hAnsi="Verdana"/>
                <w:color w:val="666699"/>
                <w:sz w:val="17"/>
                <w:szCs w:val="17"/>
                <w:shd w:val="clear" w:color="auto" w:fill="FFFFCC"/>
              </w:rPr>
              <w:t>K-5: Harcourt School Publishers, 2008</w:t>
            </w:r>
          </w:p>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 xml:space="preserve">6-8: McDougal </w:t>
            </w:r>
            <w:proofErr w:type="spellStart"/>
            <w:r>
              <w:rPr>
                <w:rFonts w:ascii="Verdana" w:hAnsi="Verdana"/>
                <w:color w:val="666699"/>
                <w:sz w:val="17"/>
                <w:szCs w:val="17"/>
                <w:shd w:val="clear" w:color="auto" w:fill="FFFFCC"/>
              </w:rPr>
              <w:t>Littell</w:t>
            </w:r>
            <w:proofErr w:type="spellEnd"/>
            <w:r>
              <w:rPr>
                <w:rFonts w:ascii="Verdana" w:hAnsi="Verdana"/>
                <w:color w:val="666699"/>
                <w:sz w:val="17"/>
                <w:szCs w:val="17"/>
                <w:shd w:val="clear" w:color="auto" w:fill="FFFFCC"/>
              </w:rPr>
              <w:t>, 2008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jc w:val="center"/>
            </w:pPr>
            <w:r>
              <w:rPr>
                <w:rFonts w:ascii="Verdana" w:hAnsi="Verdana"/>
                <w:color w:val="666699"/>
                <w:sz w:val="17"/>
                <w:szCs w:val="17"/>
                <w:shd w:val="clear" w:color="auto" w:fill="FFFFCC"/>
              </w:rPr>
              <w:t xml:space="preserve">K-5: </w:t>
            </w:r>
            <w:proofErr w:type="spellStart"/>
            <w:r>
              <w:rPr>
                <w:rFonts w:ascii="Verdana" w:hAnsi="Verdana"/>
                <w:color w:val="666699"/>
                <w:sz w:val="17"/>
                <w:szCs w:val="17"/>
                <w:shd w:val="clear" w:color="auto" w:fill="FFFFCC"/>
              </w:rPr>
              <w:t>MacMilian</w:t>
            </w:r>
            <w:proofErr w:type="spellEnd"/>
            <w:r>
              <w:rPr>
                <w:rFonts w:ascii="Verdana" w:hAnsi="Verdana"/>
                <w:color w:val="666699"/>
                <w:sz w:val="17"/>
                <w:szCs w:val="17"/>
                <w:shd w:val="clear" w:color="auto" w:fill="FFFFCC"/>
              </w:rPr>
              <w:t>/McGraw-Hill, 2007</w:t>
            </w:r>
          </w:p>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 Prentice Hall, 2007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jc w:val="center"/>
            </w:pPr>
            <w:r>
              <w:rPr>
                <w:rFonts w:ascii="Verdana" w:hAnsi="Verdana"/>
                <w:color w:val="666699"/>
                <w:sz w:val="17"/>
                <w:szCs w:val="17"/>
                <w:shd w:val="clear" w:color="auto" w:fill="FFFFCC"/>
              </w:rPr>
              <w:t>K-5: Harcourt Brace, 2006</w:t>
            </w:r>
          </w:p>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 Glencoe, 2006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bl>
    <w:p w:rsidR="00AB7773" w:rsidRDefault="00AB7773">
      <w:pPr>
        <w:divId w:val="2099060955"/>
        <w:rPr>
          <w:color w:val="555555"/>
        </w:rPr>
      </w:pPr>
      <w:r>
        <w:rPr>
          <w:color w:val="555555"/>
        </w:rPr>
        <w:br/>
      </w:r>
    </w:p>
    <w:p w:rsidR="00EF291B" w:rsidRDefault="00EF291B">
      <w:pPr>
        <w:pStyle w:val="Heading2"/>
        <w:divId w:val="2099060955"/>
        <w:rPr>
          <w:color w:val="000000"/>
          <w:sz w:val="32"/>
          <w:szCs w:val="32"/>
        </w:rPr>
      </w:pPr>
    </w:p>
    <w:p w:rsidR="00AB7773" w:rsidRDefault="00AB7773">
      <w:pPr>
        <w:pStyle w:val="Heading2"/>
        <w:divId w:val="2099060955"/>
      </w:pPr>
      <w:r>
        <w:rPr>
          <w:color w:val="000000"/>
          <w:sz w:val="32"/>
          <w:szCs w:val="32"/>
        </w:rPr>
        <w:lastRenderedPageBreak/>
        <w:t>VIII. School Finances</w:t>
      </w:r>
    </w:p>
    <w:p w:rsidR="00AB7773" w:rsidRDefault="00AB7773">
      <w:pPr>
        <w:pStyle w:val="Heading4"/>
        <w:divId w:val="2099060955"/>
      </w:pPr>
      <w:r>
        <w:rPr>
          <w:color w:val="000000"/>
          <w:sz w:val="23"/>
          <w:szCs w:val="23"/>
        </w:rPr>
        <w:t>Expenditures Per Pupil and School Site Teacher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16"/>
        <w:gridCol w:w="2006"/>
        <w:gridCol w:w="2797"/>
        <w:gridCol w:w="2518"/>
        <w:gridCol w:w="1513"/>
      </w:tblGrid>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Total Expenditures Per Pupil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(Supplemental / 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(Basic / Unrestricted)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Teacher Salary</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$6.672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$1,380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$5,292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$69.173</w:t>
            </w:r>
          </w:p>
        </w:tc>
      </w:tr>
      <w:tr w:rsidR="00AB7773">
        <w:trPr>
          <w:divId w:val="2099060955"/>
          <w:trHeight w:val="43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ind w:left="20" w:right="20"/>
            </w:pPr>
            <w:r>
              <w:rPr>
                <w:rFonts w:ascii="Verdana" w:hAnsi="Verdana"/>
                <w:b/>
                <w:bCs/>
                <w:color w:val="666699"/>
                <w:sz w:val="17"/>
                <w:szCs w:val="17"/>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ind w:left="20" w:right="20"/>
              <w:jc w:val="center"/>
            </w:pPr>
            <w:r>
              <w:rPr>
                <w:rFonts w:ascii="Verdana" w:hAnsi="Verdana"/>
                <w:color w:val="666699"/>
                <w:sz w:val="17"/>
                <w:szCs w:val="17"/>
                <w:shd w:val="clear" w:color="auto" w:fill="FFFFCC"/>
              </w:rPr>
              <w:t>$5,259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ind w:left="20" w:right="20"/>
              <w:jc w:val="center"/>
            </w:pPr>
            <w:r>
              <w:rPr>
                <w:rFonts w:ascii="Verdana" w:hAnsi="Verdana"/>
                <w:color w:val="666699"/>
                <w:sz w:val="17"/>
                <w:szCs w:val="17"/>
                <w:shd w:val="clear" w:color="auto" w:fill="FFFFCC"/>
              </w:rPr>
              <w:t>$70,053</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-1.26%</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$67,667</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-2.99%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2.23%</w:t>
            </w:r>
          </w:p>
        </w:tc>
      </w:tr>
    </w:tbl>
    <w:p w:rsidR="00AB7773" w:rsidRDefault="00AB7773">
      <w:pPr>
        <w:divId w:val="2099060955"/>
        <w:rPr>
          <w:color w:val="555555"/>
        </w:rPr>
      </w:pPr>
      <w:r>
        <w:rPr>
          <w:color w:val="555555"/>
        </w:rPr>
        <w:br/>
      </w:r>
      <w:r>
        <w:rPr>
          <w:rFonts w:ascii="Verdana" w:hAnsi="Verdana"/>
          <w:color w:val="555555"/>
          <w:sz w:val="17"/>
          <w:szCs w:val="17"/>
        </w:rPr>
        <w:t>Note: Cells shaded in black do not require data.</w:t>
      </w:r>
      <w:r>
        <w:rPr>
          <w:color w:val="555555"/>
        </w:rPr>
        <w:br/>
      </w:r>
      <w:r>
        <w:rPr>
          <w:color w:val="555555"/>
        </w:rPr>
        <w:br/>
      </w:r>
      <w:r>
        <w:rPr>
          <w:rFonts w:ascii="Verdana" w:hAnsi="Verdana"/>
          <w:b/>
          <w:bCs/>
          <w:i/>
          <w:iCs/>
          <w:color w:val="555555"/>
          <w:sz w:val="17"/>
          <w:szCs w:val="17"/>
        </w:rPr>
        <w:t>Supplemental/Restricted</w:t>
      </w:r>
      <w:r>
        <w:rPr>
          <w:rFonts w:ascii="Verdana" w:hAnsi="Verdana"/>
          <w:color w:val="555555"/>
          <w:sz w:val="17"/>
          <w:szCs w:val="17"/>
        </w:rPr>
        <w:t xml:space="preserve"> expenditures come from money whose use is controlled by law or by a donor. Money that is designated for specific purposes by the district or governing board is not considered restricted. </w:t>
      </w:r>
      <w:r>
        <w:rPr>
          <w:b/>
          <w:bCs/>
          <w:i/>
          <w:iCs/>
          <w:color w:val="555555"/>
        </w:rPr>
        <w:t>Basic/unrestricted</w:t>
      </w:r>
      <w:r>
        <w:rPr>
          <w:color w:val="555555"/>
        </w:rPr>
        <w:t xml:space="preserve"> expenditures are from money whose use, except for general guidelines, is not controlled by law or by a donor.</w:t>
      </w:r>
      <w:r>
        <w:rPr>
          <w:color w:val="555555"/>
        </w:rPr>
        <w:br/>
      </w:r>
      <w:r>
        <w:rPr>
          <w:color w:val="555555"/>
        </w:rPr>
        <w:br/>
      </w:r>
      <w:r>
        <w:rPr>
          <w:rFonts w:ascii="Arial" w:hAnsi="Arial" w:cs="Arial"/>
          <w:color w:val="000000"/>
          <w:sz w:val="23"/>
          <w:szCs w:val="23"/>
        </w:rPr>
        <w:t xml:space="preserve">For detailed information on school expenditures for all districts in California, see the </w:t>
      </w:r>
      <w:r>
        <w:rPr>
          <w:rFonts w:ascii="Arial" w:hAnsi="Arial" w:cs="Arial"/>
          <w:i/>
          <w:iCs/>
          <w:color w:val="000000"/>
          <w:sz w:val="23"/>
          <w:szCs w:val="23"/>
        </w:rPr>
        <w:t>CDE Current Expense of Education &amp; Per-pupil Spending</w:t>
      </w:r>
      <w:r>
        <w:rPr>
          <w:rFonts w:ascii="Arial" w:hAnsi="Arial" w:cs="Arial"/>
          <w:color w:val="000000"/>
          <w:sz w:val="23"/>
          <w:szCs w:val="23"/>
        </w:rPr>
        <w:t xml:space="preserve"> Web page at</w:t>
      </w:r>
      <w:hyperlink r:id="rId8" w:history="1">
        <w:r>
          <w:rPr>
            <w:rStyle w:val="Hyperlink"/>
            <w:rFonts w:ascii="Arial" w:hAnsi="Arial" w:cs="Arial"/>
            <w:color w:val="000000"/>
            <w:sz w:val="23"/>
            <w:szCs w:val="23"/>
          </w:rPr>
          <w:t xml:space="preserve"> http://www.cde.ca.gov/ds/fd/ec/</w:t>
        </w:r>
      </w:hyperlink>
      <w:r>
        <w:rPr>
          <w:rFonts w:ascii="Arial" w:hAnsi="Arial" w:cs="Arial"/>
          <w:color w:val="000000"/>
          <w:sz w:val="23"/>
          <w:szCs w:val="23"/>
        </w:rPr>
        <w:t xml:space="preserve">. For information on teacher salaries for all districts in California, see the CDE </w:t>
      </w:r>
      <w:r>
        <w:rPr>
          <w:rFonts w:ascii="Arial" w:hAnsi="Arial" w:cs="Arial"/>
          <w:i/>
          <w:iCs/>
          <w:color w:val="000000"/>
          <w:sz w:val="23"/>
          <w:szCs w:val="23"/>
        </w:rPr>
        <w:t>Certificated Salaries &amp; Benefits</w:t>
      </w:r>
      <w:r>
        <w:rPr>
          <w:rFonts w:ascii="Arial" w:hAnsi="Arial" w:cs="Arial"/>
          <w:color w:val="000000"/>
          <w:sz w:val="23"/>
          <w:szCs w:val="23"/>
        </w:rPr>
        <w:t xml:space="preserve"> Web page at</w:t>
      </w:r>
      <w:hyperlink r:id="rId9" w:history="1">
        <w:r>
          <w:rPr>
            <w:rStyle w:val="Hyperlink"/>
            <w:rFonts w:ascii="Arial" w:hAnsi="Arial" w:cs="Arial"/>
            <w:color w:val="000000"/>
            <w:sz w:val="23"/>
            <w:szCs w:val="23"/>
          </w:rPr>
          <w:t xml:space="preserve"> http://www.cde.ca.gov/ds/fd/cs/</w:t>
        </w:r>
      </w:hyperlink>
      <w:r>
        <w:rPr>
          <w:rFonts w:ascii="Arial" w:hAnsi="Arial" w:cs="Arial"/>
          <w:color w:val="000000"/>
          <w:sz w:val="23"/>
          <w:szCs w:val="23"/>
        </w:rPr>
        <w:t>. To look up expenditures and salaries for a specific school district, see the Ed-Data Web site at:</w:t>
      </w:r>
      <w:hyperlink r:id="rId10" w:history="1">
        <w:r>
          <w:rPr>
            <w:rStyle w:val="Hyperlink"/>
            <w:rFonts w:ascii="Arial" w:hAnsi="Arial" w:cs="Arial"/>
            <w:color w:val="000000"/>
            <w:sz w:val="23"/>
            <w:szCs w:val="23"/>
          </w:rPr>
          <w:t xml:space="preserve"> http://www.ed-data.org</w:t>
        </w:r>
      </w:hyperlink>
      <w:r>
        <w:rPr>
          <w:rFonts w:ascii="Arial" w:hAnsi="Arial" w:cs="Arial"/>
          <w:color w:val="000000"/>
          <w:sz w:val="23"/>
          <w:szCs w:val="23"/>
        </w:rPr>
        <w:t>.</w:t>
      </w:r>
    </w:p>
    <w:p w:rsidR="00AB7773" w:rsidRDefault="00AB7773">
      <w:pPr>
        <w:pStyle w:val="Heading4"/>
        <w:divId w:val="2099060955"/>
      </w:pPr>
      <w:r>
        <w:rPr>
          <w:color w:val="000000"/>
          <w:sz w:val="23"/>
          <w:szCs w:val="23"/>
        </w:rPr>
        <w:t>Types of Services Funded (Fiscal Year 2010–11)</w:t>
      </w:r>
    </w:p>
    <w:tbl>
      <w:tblPr>
        <w:tblW w:w="0" w:type="auto"/>
        <w:tblLook w:val="04A0"/>
      </w:tblPr>
      <w:tblGrid>
        <w:gridCol w:w="10950"/>
      </w:tblGrid>
      <w:tr w:rsidR="00AB7773">
        <w:trPr>
          <w:divId w:val="2099060955"/>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AB7773" w:rsidRDefault="00AB7773">
            <w:pPr>
              <w:spacing w:before="100" w:beforeAutospacing="1" w:after="100" w:afterAutospacing="1"/>
              <w:rPr>
                <w:rFonts w:ascii="Arial" w:hAnsi="Arial" w:cs="Arial"/>
                <w:color w:val="000000"/>
                <w:sz w:val="18"/>
                <w:szCs w:val="18"/>
              </w:rPr>
            </w:pPr>
            <w:r>
              <w:rPr>
                <w:rFonts w:ascii="Arial" w:hAnsi="Arial" w:cs="Arial"/>
                <w:color w:val="000000"/>
                <w:sz w:val="18"/>
                <w:szCs w:val="18"/>
              </w:rPr>
              <w:t>This section provides information about the programs and supplemental services that are available at the school and funded through either categorical or other sources. </w:t>
            </w:r>
          </w:p>
          <w:p w:rsidR="00AB7773" w:rsidRDefault="00AB7773">
            <w:pPr>
              <w:rPr>
                <w:rFonts w:ascii="Arial" w:hAnsi="Arial" w:cs="Arial"/>
                <w:color w:val="000000"/>
                <w:sz w:val="18"/>
                <w:szCs w:val="18"/>
              </w:rPr>
            </w:pPr>
            <w:r w:rsidRPr="00216093">
              <w:rPr>
                <w:rFonts w:ascii="Arial" w:hAnsi="Arial" w:cs="Arial"/>
                <w:color w:val="000000"/>
                <w:sz w:val="18"/>
                <w:szCs w:val="18"/>
              </w:rPr>
              <w:t>In addition to general State funding, Alhambra Unified School District receives State and Federal categorical funding for special programs.  For the 2010-11 school year, the District received approximately $1,688 per student in Federal or State aid for the following categorical, special education, and support programs:</w:t>
            </w:r>
          </w:p>
          <w:p w:rsidR="00AB7773" w:rsidRPr="00216093" w:rsidRDefault="00AB7773">
            <w:pPr>
              <w:numPr>
                <w:ilvl w:val="0"/>
                <w:numId w:val="4"/>
              </w:numPr>
              <w:rPr>
                <w:rFonts w:ascii="Arial" w:hAnsi="Arial" w:cs="Arial"/>
                <w:color w:val="000000"/>
                <w:sz w:val="18"/>
                <w:szCs w:val="18"/>
              </w:rPr>
            </w:pPr>
            <w:r w:rsidRPr="00216093">
              <w:rPr>
                <w:rFonts w:ascii="Arial" w:hAnsi="Arial" w:cs="Arial"/>
                <w:color w:val="000000"/>
                <w:sz w:val="18"/>
                <w:szCs w:val="18"/>
              </w:rPr>
              <w:t>Title I</w:t>
            </w:r>
          </w:p>
          <w:p w:rsidR="00AB7773" w:rsidRPr="00216093" w:rsidRDefault="00AB7773">
            <w:pPr>
              <w:numPr>
                <w:ilvl w:val="0"/>
                <w:numId w:val="4"/>
              </w:numPr>
              <w:rPr>
                <w:rFonts w:ascii="Arial" w:hAnsi="Arial" w:cs="Arial"/>
                <w:color w:val="000000"/>
                <w:sz w:val="18"/>
                <w:szCs w:val="18"/>
              </w:rPr>
            </w:pPr>
            <w:r w:rsidRPr="00216093">
              <w:rPr>
                <w:rFonts w:ascii="Arial" w:hAnsi="Arial" w:cs="Arial"/>
                <w:color w:val="000000"/>
                <w:sz w:val="18"/>
                <w:szCs w:val="18"/>
              </w:rPr>
              <w:t>Title II</w:t>
            </w:r>
            <w:r w:rsidRPr="00216093">
              <w:rPr>
                <w:rFonts w:ascii="Arial" w:hAnsi="Arial" w:cs="Arial"/>
                <w:color w:val="000000"/>
                <w:sz w:val="18"/>
                <w:szCs w:val="18"/>
              </w:rPr>
              <w:tab/>
            </w:r>
          </w:p>
          <w:p w:rsidR="00AB7773" w:rsidRPr="00216093" w:rsidRDefault="00AB7773">
            <w:pPr>
              <w:numPr>
                <w:ilvl w:val="0"/>
                <w:numId w:val="4"/>
              </w:numPr>
              <w:rPr>
                <w:rFonts w:ascii="Arial" w:hAnsi="Arial" w:cs="Arial"/>
                <w:color w:val="000000"/>
                <w:sz w:val="18"/>
                <w:szCs w:val="18"/>
              </w:rPr>
            </w:pPr>
            <w:r w:rsidRPr="00216093">
              <w:rPr>
                <w:rFonts w:ascii="Arial" w:hAnsi="Arial" w:cs="Arial"/>
                <w:color w:val="000000"/>
                <w:sz w:val="18"/>
                <w:szCs w:val="18"/>
              </w:rPr>
              <w:t>Title III</w:t>
            </w:r>
          </w:p>
          <w:p w:rsidR="00AB7773" w:rsidRPr="00216093" w:rsidRDefault="00AB7773">
            <w:pPr>
              <w:numPr>
                <w:ilvl w:val="0"/>
                <w:numId w:val="4"/>
              </w:numPr>
              <w:rPr>
                <w:rFonts w:ascii="Arial" w:hAnsi="Arial" w:cs="Arial"/>
                <w:color w:val="000000"/>
                <w:sz w:val="18"/>
                <w:szCs w:val="18"/>
              </w:rPr>
            </w:pPr>
            <w:r w:rsidRPr="00216093">
              <w:rPr>
                <w:rFonts w:ascii="Arial" w:hAnsi="Arial" w:cs="Arial"/>
                <w:color w:val="000000"/>
                <w:sz w:val="18"/>
                <w:szCs w:val="18"/>
              </w:rPr>
              <w:t>Title IV</w:t>
            </w:r>
          </w:p>
          <w:p w:rsidR="00AB7773" w:rsidRPr="00216093" w:rsidRDefault="00AB7773">
            <w:pPr>
              <w:numPr>
                <w:ilvl w:val="0"/>
                <w:numId w:val="4"/>
              </w:numPr>
              <w:rPr>
                <w:rFonts w:ascii="Arial" w:hAnsi="Arial" w:cs="Arial"/>
                <w:color w:val="000000"/>
                <w:sz w:val="18"/>
                <w:szCs w:val="18"/>
              </w:rPr>
            </w:pPr>
            <w:r w:rsidRPr="00216093">
              <w:rPr>
                <w:rFonts w:ascii="Arial" w:hAnsi="Arial" w:cs="Arial"/>
                <w:color w:val="000000"/>
                <w:sz w:val="18"/>
                <w:szCs w:val="18"/>
              </w:rPr>
              <w:t>WIA</w:t>
            </w:r>
          </w:p>
          <w:p w:rsidR="00AB7773" w:rsidRPr="00216093" w:rsidRDefault="00AB7773">
            <w:pPr>
              <w:numPr>
                <w:ilvl w:val="0"/>
                <w:numId w:val="4"/>
              </w:numPr>
              <w:rPr>
                <w:rFonts w:ascii="Arial" w:hAnsi="Arial" w:cs="Arial"/>
                <w:color w:val="000000"/>
                <w:sz w:val="18"/>
                <w:szCs w:val="18"/>
              </w:rPr>
            </w:pPr>
            <w:r w:rsidRPr="00216093">
              <w:rPr>
                <w:rFonts w:ascii="Arial" w:hAnsi="Arial" w:cs="Arial"/>
                <w:color w:val="000000"/>
                <w:sz w:val="18"/>
                <w:szCs w:val="18"/>
              </w:rPr>
              <w:t>Migrant Education</w:t>
            </w:r>
          </w:p>
          <w:p w:rsidR="00AB7773" w:rsidRPr="00216093" w:rsidRDefault="00AB7773">
            <w:pPr>
              <w:numPr>
                <w:ilvl w:val="0"/>
                <w:numId w:val="4"/>
              </w:numPr>
              <w:rPr>
                <w:rFonts w:ascii="Arial" w:hAnsi="Arial" w:cs="Arial"/>
                <w:color w:val="000000"/>
                <w:sz w:val="18"/>
                <w:szCs w:val="18"/>
              </w:rPr>
            </w:pPr>
            <w:r w:rsidRPr="00216093">
              <w:rPr>
                <w:rFonts w:ascii="Arial" w:hAnsi="Arial" w:cs="Arial"/>
                <w:color w:val="000000"/>
                <w:sz w:val="18"/>
                <w:szCs w:val="18"/>
              </w:rPr>
              <w:t>Lottery Instructional Materials</w:t>
            </w:r>
          </w:p>
          <w:p w:rsidR="00AB7773" w:rsidRPr="00216093" w:rsidRDefault="00AB7773">
            <w:pPr>
              <w:numPr>
                <w:ilvl w:val="0"/>
                <w:numId w:val="4"/>
              </w:numPr>
              <w:rPr>
                <w:rFonts w:ascii="Arial" w:hAnsi="Arial" w:cs="Arial"/>
                <w:color w:val="000000"/>
                <w:sz w:val="18"/>
                <w:szCs w:val="18"/>
              </w:rPr>
            </w:pPr>
            <w:r w:rsidRPr="00216093">
              <w:rPr>
                <w:rFonts w:ascii="Arial" w:hAnsi="Arial" w:cs="Arial"/>
                <w:color w:val="000000"/>
                <w:sz w:val="18"/>
                <w:szCs w:val="18"/>
              </w:rPr>
              <w:t>Special Education</w:t>
            </w:r>
          </w:p>
          <w:p w:rsidR="00AB7773" w:rsidRPr="00216093" w:rsidRDefault="00AB7773">
            <w:pPr>
              <w:numPr>
                <w:ilvl w:val="0"/>
                <w:numId w:val="4"/>
              </w:numPr>
              <w:rPr>
                <w:rFonts w:ascii="Arial" w:hAnsi="Arial" w:cs="Arial"/>
                <w:color w:val="000000"/>
                <w:sz w:val="18"/>
                <w:szCs w:val="18"/>
              </w:rPr>
            </w:pPr>
            <w:r w:rsidRPr="00216093">
              <w:rPr>
                <w:rFonts w:ascii="Arial" w:hAnsi="Arial" w:cs="Arial"/>
                <w:color w:val="000000"/>
                <w:sz w:val="18"/>
                <w:szCs w:val="18"/>
              </w:rPr>
              <w:t>EIA/SCE</w:t>
            </w:r>
          </w:p>
          <w:p w:rsidR="00AB7773" w:rsidRPr="00216093" w:rsidRDefault="00AB7773">
            <w:pPr>
              <w:numPr>
                <w:ilvl w:val="0"/>
                <w:numId w:val="4"/>
              </w:numPr>
              <w:rPr>
                <w:rFonts w:ascii="Arial" w:hAnsi="Arial" w:cs="Arial"/>
                <w:color w:val="000000"/>
                <w:sz w:val="18"/>
                <w:szCs w:val="18"/>
              </w:rPr>
            </w:pPr>
            <w:r w:rsidRPr="00216093">
              <w:rPr>
                <w:rFonts w:ascii="Arial" w:hAnsi="Arial" w:cs="Arial"/>
                <w:color w:val="000000"/>
                <w:sz w:val="18"/>
                <w:szCs w:val="18"/>
              </w:rPr>
              <w:t>EIA/LEP</w:t>
            </w:r>
          </w:p>
          <w:p w:rsidR="00AB7773" w:rsidRDefault="00AB7773">
            <w:pPr>
              <w:numPr>
                <w:ilvl w:val="0"/>
                <w:numId w:val="4"/>
              </w:numPr>
              <w:rPr>
                <w:rFonts w:ascii="Arial" w:hAnsi="Arial" w:cs="Arial"/>
                <w:color w:val="000000"/>
                <w:sz w:val="18"/>
                <w:szCs w:val="18"/>
              </w:rPr>
            </w:pPr>
            <w:r w:rsidRPr="00216093">
              <w:rPr>
                <w:rFonts w:ascii="Arial" w:hAnsi="Arial" w:cs="Arial"/>
                <w:color w:val="000000"/>
                <w:sz w:val="18"/>
                <w:szCs w:val="18"/>
              </w:rPr>
              <w:t>VAPA</w:t>
            </w:r>
          </w:p>
        </w:tc>
      </w:tr>
    </w:tbl>
    <w:p w:rsidR="00AB7773" w:rsidRDefault="00AB7773">
      <w:pPr>
        <w:divId w:val="2099060955"/>
        <w:rPr>
          <w:color w:val="555555"/>
        </w:rPr>
      </w:pPr>
    </w:p>
    <w:p w:rsidR="00EF291B" w:rsidRDefault="00EF291B">
      <w:pPr>
        <w:pStyle w:val="Heading4"/>
        <w:divId w:val="2099060955"/>
        <w:rPr>
          <w:color w:val="000000"/>
          <w:sz w:val="23"/>
          <w:szCs w:val="23"/>
        </w:rPr>
      </w:pPr>
    </w:p>
    <w:p w:rsidR="00EF291B" w:rsidRDefault="00EF291B">
      <w:pPr>
        <w:pStyle w:val="Heading4"/>
        <w:divId w:val="2099060955"/>
        <w:rPr>
          <w:color w:val="000000"/>
          <w:sz w:val="23"/>
          <w:szCs w:val="23"/>
        </w:rPr>
      </w:pPr>
    </w:p>
    <w:p w:rsidR="00AB7773" w:rsidRDefault="00AB7773">
      <w:pPr>
        <w:pStyle w:val="Heading4"/>
        <w:divId w:val="2099060955"/>
      </w:pPr>
      <w:r>
        <w:rPr>
          <w:color w:val="000000"/>
          <w:sz w:val="23"/>
          <w:szCs w:val="23"/>
        </w:rPr>
        <w:lastRenderedPageBreak/>
        <w:t>Teacher and Administrative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33"/>
        <w:gridCol w:w="1799"/>
        <w:gridCol w:w="4718"/>
      </w:tblGrid>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Category</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Amount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State Average For Districts In Same Category</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Beginning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$35,430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$41,035</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Mid-Range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$66,490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$65,412</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Highest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$97,260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$84,837</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$123,067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$106,217</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(Middle)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$111,763</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(High)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$138,132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$121,538</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$207,289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$197,275</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Teacher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39.00%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Administrative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r>
    </w:tbl>
    <w:p w:rsidR="00AB7773" w:rsidRDefault="00AB7773">
      <w:pPr>
        <w:divId w:val="2099060955"/>
        <w:rPr>
          <w:color w:val="555555"/>
        </w:rPr>
      </w:pPr>
      <w:r>
        <w:rPr>
          <w:color w:val="555555"/>
        </w:rPr>
        <w:br/>
      </w:r>
      <w:r>
        <w:rPr>
          <w:rFonts w:ascii="Verdana" w:hAnsi="Verdana"/>
          <w:color w:val="555555"/>
          <w:sz w:val="17"/>
          <w:szCs w:val="17"/>
        </w:rPr>
        <w:t>Note: For detailed information on salaries, see the CDE Certificated Salaries &amp; Benefits Web page at</w:t>
      </w:r>
      <w:hyperlink r:id="rId11" w:history="1">
        <w:r>
          <w:rPr>
            <w:rStyle w:val="Hyperlink"/>
            <w:rFonts w:ascii="Verdana" w:hAnsi="Verdana"/>
            <w:color w:val="555555"/>
            <w:sz w:val="17"/>
            <w:szCs w:val="17"/>
          </w:rPr>
          <w:t xml:space="preserve"> http://www.cde.ca.gov/ds/fd/cs/</w:t>
        </w:r>
      </w:hyperlink>
      <w:r>
        <w:rPr>
          <w:rFonts w:ascii="Verdana" w:hAnsi="Verdana"/>
          <w:color w:val="555555"/>
          <w:sz w:val="17"/>
          <w:szCs w:val="17"/>
        </w:rPr>
        <w:t>.</w:t>
      </w:r>
    </w:p>
    <w:p w:rsidR="00AB7773" w:rsidRDefault="00AB7773">
      <w:pPr>
        <w:pStyle w:val="Heading2"/>
        <w:divId w:val="2099060955"/>
      </w:pPr>
      <w:r>
        <w:rPr>
          <w:color w:val="000000"/>
          <w:sz w:val="32"/>
          <w:szCs w:val="32"/>
        </w:rPr>
        <w:t>IX. Student Performance</w:t>
      </w:r>
    </w:p>
    <w:p w:rsidR="00AB7773" w:rsidRDefault="00AB7773">
      <w:pPr>
        <w:pStyle w:val="Heading4"/>
        <w:divId w:val="2099060955"/>
      </w:pPr>
      <w:r>
        <w:rPr>
          <w:color w:val="000000"/>
          <w:sz w:val="23"/>
          <w:szCs w:val="23"/>
        </w:rPr>
        <w:t>Standardized Testing and Reporting Program</w:t>
      </w:r>
    </w:p>
    <w:p w:rsidR="00AB7773" w:rsidRDefault="00AB7773">
      <w:pPr>
        <w:divId w:val="2099060955"/>
        <w:rPr>
          <w:color w:val="555555"/>
        </w:rPr>
      </w:pPr>
      <w:r>
        <w:rPr>
          <w:color w:val="555555"/>
        </w:rPr>
        <w:br/>
      </w:r>
      <w:r>
        <w:rPr>
          <w:rFonts w:ascii="Verdana" w:hAnsi="Verdana"/>
          <w:color w:val="555555"/>
          <w:sz w:val="17"/>
          <w:szCs w:val="17"/>
        </w:rPr>
        <w:t>The Standardized Testing and Reporting (STAR) Program consists of several key components, including:</w:t>
      </w:r>
    </w:p>
    <w:p w:rsidR="00AB7773" w:rsidRDefault="00AB7773">
      <w:pPr>
        <w:numPr>
          <w:ilvl w:val="0"/>
          <w:numId w:val="5"/>
        </w:numPr>
        <w:spacing w:before="100" w:beforeAutospacing="1" w:after="100" w:afterAutospacing="1"/>
        <w:textAlignment w:val="baseline"/>
        <w:divId w:val="2099060955"/>
        <w:rPr>
          <w:rFonts w:ascii="Arial" w:hAnsi="Arial" w:cs="Arial"/>
          <w:color w:val="000000"/>
          <w:sz w:val="23"/>
          <w:szCs w:val="23"/>
        </w:rPr>
      </w:pPr>
      <w:r>
        <w:rPr>
          <w:rFonts w:ascii="Verdana" w:hAnsi="Verdana" w:cs="Arial"/>
          <w:b/>
          <w:bCs/>
          <w:color w:val="555555"/>
          <w:sz w:val="17"/>
          <w:szCs w:val="17"/>
        </w:rPr>
        <w:t>California Standards Tests (CSTs)</w:t>
      </w:r>
      <w:r>
        <w:rPr>
          <w:rFonts w:ascii="Verdana" w:hAnsi="Verdana" w:cs="Arial"/>
          <w:color w:val="555555"/>
          <w:sz w:val="17"/>
          <w:szCs w:val="17"/>
        </w:rPr>
        <w:t>, which include English-language arts (ELA) and mathematics in grades two through eleven; science in grades five, eight, and nine through eleven; and history-social science in grades eight, and nine through eleven.</w:t>
      </w:r>
    </w:p>
    <w:p w:rsidR="00AB7773" w:rsidRDefault="00AB7773">
      <w:pPr>
        <w:numPr>
          <w:ilvl w:val="0"/>
          <w:numId w:val="5"/>
        </w:numPr>
        <w:spacing w:before="100" w:beforeAutospacing="1" w:after="100" w:afterAutospacing="1"/>
        <w:textAlignment w:val="baseline"/>
        <w:divId w:val="2099060955"/>
        <w:rPr>
          <w:rFonts w:ascii="Arial" w:hAnsi="Arial" w:cs="Arial"/>
          <w:color w:val="000000"/>
          <w:sz w:val="23"/>
          <w:szCs w:val="23"/>
        </w:rPr>
      </w:pPr>
      <w:r>
        <w:rPr>
          <w:rFonts w:ascii="Verdana" w:hAnsi="Verdana" w:cs="Arial"/>
          <w:b/>
          <w:bCs/>
          <w:color w:val="555555"/>
          <w:sz w:val="17"/>
          <w:szCs w:val="17"/>
        </w:rPr>
        <w:t>California Modified Assessment (CMA)</w:t>
      </w:r>
      <w:r>
        <w:rPr>
          <w:rFonts w:ascii="Verdana" w:hAnsi="Verdana" w:cs="Arial"/>
          <w:color w:val="555555"/>
          <w:sz w:val="17"/>
          <w:szCs w:val="17"/>
        </w:rPr>
        <w:t>, an alternate assessment that is based on modified achievement standards in ELA for grades three through eleven; mathematics for grades three through seven, Algebra I, and Geometry; and science in grades five and eight, and Life Science in grade ten. The CMA is designed to assess those students whose disabilities preclude them from achieving grade-level proficiency on an assessment of the California content standards with or without accommodations.</w:t>
      </w:r>
    </w:p>
    <w:p w:rsidR="00AB7773" w:rsidRDefault="00AB7773">
      <w:pPr>
        <w:numPr>
          <w:ilvl w:val="0"/>
          <w:numId w:val="5"/>
        </w:numPr>
        <w:spacing w:before="100" w:beforeAutospacing="1" w:after="100" w:afterAutospacing="1"/>
        <w:textAlignment w:val="baseline"/>
        <w:divId w:val="2099060955"/>
        <w:rPr>
          <w:rFonts w:ascii="Arial" w:hAnsi="Arial" w:cs="Arial"/>
          <w:color w:val="000000"/>
          <w:sz w:val="23"/>
          <w:szCs w:val="23"/>
        </w:rPr>
      </w:pPr>
      <w:r>
        <w:rPr>
          <w:rFonts w:ascii="Verdana" w:hAnsi="Verdana" w:cs="Arial"/>
          <w:b/>
          <w:bCs/>
          <w:color w:val="555555"/>
          <w:sz w:val="17"/>
          <w:szCs w:val="17"/>
        </w:rPr>
        <w:t>California Alternate Performance Assessment (CAPA)</w:t>
      </w:r>
      <w:r>
        <w:rPr>
          <w:rFonts w:ascii="Verdana" w:hAnsi="Verdana" w:cs="Arial"/>
          <w:color w:val="555555"/>
          <w:sz w:val="17"/>
          <w:szCs w:val="17"/>
        </w:rPr>
        <w:t>, includes ELA and mathematics in grades two through eleven, and science for grades five, eight, and ten. The CAPA is given to those students with significant cognitive disabilities whose disabilities prevent them from taking either the CSTs with accommodations or modifications or the CMA with accommodations.</w:t>
      </w:r>
    </w:p>
    <w:p w:rsidR="00AB7773" w:rsidRDefault="00AB7773">
      <w:pPr>
        <w:divId w:val="2099060955"/>
        <w:rPr>
          <w:color w:val="555555"/>
        </w:rPr>
      </w:pPr>
      <w:r>
        <w:rPr>
          <w:color w:val="555555"/>
        </w:rPr>
        <w:br/>
      </w:r>
      <w:r>
        <w:rPr>
          <w:color w:val="555555"/>
        </w:rPr>
        <w:br/>
      </w:r>
      <w:r>
        <w:rPr>
          <w:color w:val="555555"/>
        </w:rPr>
        <w:br/>
      </w:r>
      <w:r>
        <w:rPr>
          <w:rFonts w:ascii="Verdana" w:hAnsi="Verdana"/>
          <w:color w:val="555555"/>
          <w:sz w:val="17"/>
          <w:szCs w:val="17"/>
        </w:rPr>
        <w:t>The assessments under the STAR Program show how well students are doing in relation to the state content standards. On each of these assessments, student scores are reported as performance levels.</w:t>
      </w:r>
      <w:r>
        <w:rPr>
          <w:color w:val="555555"/>
        </w:rPr>
        <w:br/>
      </w:r>
      <w:r>
        <w:rPr>
          <w:color w:val="555555"/>
        </w:rPr>
        <w:br/>
      </w:r>
      <w:r>
        <w:rPr>
          <w:rFonts w:ascii="Verdana" w:hAnsi="Verdana"/>
          <w:color w:val="555555"/>
          <w:sz w:val="17"/>
          <w:szCs w:val="17"/>
        </w:rPr>
        <w:t>For detailed information regarding the STAR Program results for each grade and performance level, including the percent of students not tested, see the CDE STAR Results Web site at</w:t>
      </w:r>
      <w:hyperlink r:id="rId12" w:history="1">
        <w:r>
          <w:rPr>
            <w:rStyle w:val="Hyperlink"/>
            <w:rFonts w:ascii="Verdana" w:hAnsi="Verdana"/>
            <w:color w:val="555555"/>
            <w:sz w:val="17"/>
            <w:szCs w:val="17"/>
          </w:rPr>
          <w:t xml:space="preserve"> http://star.cde.ca.gov</w:t>
        </w:r>
      </w:hyperlink>
      <w:r>
        <w:rPr>
          <w:rFonts w:ascii="Verdana" w:hAnsi="Verdana"/>
          <w:color w:val="555555"/>
          <w:sz w:val="17"/>
          <w:szCs w:val="17"/>
        </w:rPr>
        <w:t>.</w:t>
      </w:r>
    </w:p>
    <w:p w:rsidR="00EF291B" w:rsidRDefault="00EF291B">
      <w:pPr>
        <w:pStyle w:val="Heading4"/>
        <w:divId w:val="2099060955"/>
        <w:rPr>
          <w:color w:val="000000"/>
          <w:sz w:val="23"/>
          <w:szCs w:val="23"/>
        </w:rPr>
      </w:pPr>
    </w:p>
    <w:p w:rsidR="00EF291B" w:rsidRDefault="00EF291B">
      <w:pPr>
        <w:pStyle w:val="Heading4"/>
        <w:divId w:val="2099060955"/>
        <w:rPr>
          <w:color w:val="000000"/>
          <w:sz w:val="23"/>
          <w:szCs w:val="23"/>
        </w:rPr>
      </w:pPr>
    </w:p>
    <w:p w:rsidR="00EF291B" w:rsidRDefault="00EF291B">
      <w:pPr>
        <w:pStyle w:val="Heading4"/>
        <w:divId w:val="2099060955"/>
        <w:rPr>
          <w:color w:val="000000"/>
          <w:sz w:val="23"/>
          <w:szCs w:val="23"/>
        </w:rPr>
      </w:pPr>
    </w:p>
    <w:p w:rsidR="00EF291B" w:rsidRDefault="00EF291B">
      <w:pPr>
        <w:pStyle w:val="Heading4"/>
        <w:divId w:val="2099060955"/>
        <w:rPr>
          <w:color w:val="000000"/>
          <w:sz w:val="23"/>
          <w:szCs w:val="23"/>
        </w:rPr>
      </w:pPr>
    </w:p>
    <w:p w:rsidR="00AB7773" w:rsidRDefault="00AB7773">
      <w:pPr>
        <w:pStyle w:val="Heading4"/>
        <w:divId w:val="2099060955"/>
      </w:pPr>
      <w:r>
        <w:rPr>
          <w:color w:val="000000"/>
          <w:sz w:val="23"/>
          <w:szCs w:val="23"/>
        </w:rPr>
        <w:lastRenderedPageBreak/>
        <w:t>Standardized Testing and Reporting Results for All Students – Three-Year Comparison</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9"/>
        <w:gridCol w:w="999"/>
        <w:gridCol w:w="999"/>
        <w:gridCol w:w="999"/>
        <w:gridCol w:w="999"/>
        <w:gridCol w:w="999"/>
        <w:gridCol w:w="999"/>
        <w:gridCol w:w="999"/>
        <w:gridCol w:w="999"/>
        <w:gridCol w:w="999"/>
      </w:tblGrid>
      <w:tr w:rsidR="00AB7773">
        <w:trPr>
          <w:divId w:val="209906095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rPr>
                <w:sz w:val="2"/>
              </w:rPr>
            </w:pPr>
            <w:r w:rsidRPr="00216093">
              <w:rPr>
                <w:rFonts w:ascii="Verdana" w:hAnsi="Verdana"/>
                <w:b/>
                <w:bCs/>
                <w:color w:val="FFFFFF"/>
                <w:sz w:val="18"/>
                <w:szCs w:val="18"/>
                <w:shd w:val="clear" w:color="auto" w:fill="1A4678"/>
              </w:rPr>
              <w:t>Percent of Students Scoring at Proficient or Advanced (meeting or exceeding the state standards)</w:t>
            </w:r>
          </w:p>
        </w:tc>
      </w:tr>
      <w:tr w:rsidR="00AB7773">
        <w:trPr>
          <w:divId w:val="20990609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AB7773" w:rsidRDefault="00AB7773"/>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rPr>
                <w:sz w:val="2"/>
              </w:rPr>
            </w:pPr>
            <w:r w:rsidRPr="00216093">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rPr>
                <w:sz w:val="2"/>
              </w:rPr>
            </w:pPr>
            <w:r w:rsidRPr="00216093">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rPr>
                <w:sz w:val="2"/>
              </w:rPr>
            </w:pPr>
            <w:r w:rsidRPr="00216093">
              <w:rPr>
                <w:rFonts w:ascii="Verdana" w:hAnsi="Verdana"/>
                <w:b/>
                <w:bCs/>
                <w:color w:val="FFFFFF"/>
                <w:sz w:val="17"/>
                <w:szCs w:val="17"/>
                <w:shd w:val="clear" w:color="auto" w:fill="B02B2E"/>
              </w:rPr>
              <w:t>State</w:t>
            </w:r>
          </w:p>
        </w:tc>
      </w:tr>
      <w:tr w:rsidR="00AB7773">
        <w:trPr>
          <w:divId w:val="20990609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AB7773" w:rsidRDefault="00AB7773"/>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r>
    </w:tbl>
    <w:p w:rsidR="00AB7773" w:rsidRDefault="00AB7773">
      <w:pPr>
        <w:divId w:val="2099060955"/>
        <w:rPr>
          <w:color w:val="555555"/>
        </w:rPr>
      </w:pPr>
      <w:r>
        <w:rPr>
          <w:color w:val="555555"/>
        </w:rPr>
        <w:br/>
      </w:r>
      <w:r>
        <w:rPr>
          <w:rFonts w:ascii="Verdana" w:hAnsi="Verdana"/>
          <w:color w:val="555555"/>
          <w:sz w:val="17"/>
          <w:szCs w:val="17"/>
        </w:rPr>
        <w:t xml:space="preserve">Note: </w:t>
      </w:r>
      <w:r>
        <w:rPr>
          <w:rFonts w:ascii="Verdana" w:hAnsi="Verdana"/>
          <w:b/>
          <w:bCs/>
          <w:color w:val="555555"/>
          <w:sz w:val="17"/>
          <w:szCs w:val="17"/>
        </w:rPr>
        <w:t>Scores are not shown when the number of students tested is ten or less, either because the number of students in this category is too small for statistical accuracy or to protect student privacy</w:t>
      </w:r>
      <w:r>
        <w:rPr>
          <w:rFonts w:ascii="Verdana" w:hAnsi="Verdana"/>
          <w:color w:val="555555"/>
          <w:sz w:val="17"/>
          <w:szCs w:val="17"/>
        </w:rPr>
        <w:t>.</w:t>
      </w:r>
    </w:p>
    <w:p w:rsidR="00AB7773" w:rsidRDefault="00AB7773">
      <w:pPr>
        <w:pStyle w:val="Heading4"/>
        <w:divId w:val="2099060955"/>
      </w:pPr>
      <w:r>
        <w:rPr>
          <w:color w:val="000000"/>
          <w:sz w:val="23"/>
          <w:szCs w:val="23"/>
        </w:rPr>
        <w:t>Standardized Testing and Reporting Results by Student Group – Most Recent Year</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56"/>
        <w:gridCol w:w="2217"/>
        <w:gridCol w:w="1416"/>
        <w:gridCol w:w="926"/>
        <w:gridCol w:w="2165"/>
      </w:tblGrid>
      <w:tr w:rsidR="00AB7773">
        <w:trPr>
          <w:divId w:val="209906095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rPr>
                <w:sz w:val="2"/>
              </w:rPr>
            </w:pPr>
            <w:r w:rsidRPr="00216093">
              <w:rPr>
                <w:rFonts w:ascii="Verdana" w:hAnsi="Verdana"/>
                <w:b/>
                <w:bCs/>
                <w:color w:val="FFFFFF"/>
                <w:sz w:val="18"/>
                <w:szCs w:val="18"/>
                <w:shd w:val="clear" w:color="auto" w:fill="1A4678"/>
              </w:rPr>
              <w:t>Percent of Students Scoring at Proficient or Advanced</w:t>
            </w:r>
          </w:p>
        </w:tc>
      </w:tr>
      <w:tr w:rsidR="00AB7773">
        <w:trPr>
          <w:divId w:val="20990609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AB7773" w:rsidRDefault="00AB7773"/>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English- Language Arts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Science</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History- Social Science</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88%</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jc w:val="right"/>
            </w:pPr>
            <w:r>
              <w:rPr>
                <w:rFonts w:ascii="Verdana" w:hAnsi="Verdana"/>
                <w:color w:val="666699"/>
                <w:sz w:val="17"/>
                <w:szCs w:val="17"/>
              </w:rPr>
              <w:t>0%</w:t>
            </w:r>
          </w:p>
        </w:tc>
      </w:tr>
    </w:tbl>
    <w:p w:rsidR="00AB7773" w:rsidRDefault="00AB7773">
      <w:pPr>
        <w:divId w:val="2099060955"/>
        <w:rPr>
          <w:color w:val="555555"/>
        </w:rPr>
      </w:pPr>
      <w:r>
        <w:rPr>
          <w:color w:val="555555"/>
        </w:rPr>
        <w:br/>
      </w:r>
      <w:r>
        <w:rPr>
          <w:rFonts w:ascii="Verdana" w:hAnsi="Verdana"/>
          <w:color w:val="555555"/>
          <w:sz w:val="17"/>
          <w:szCs w:val="17"/>
        </w:rPr>
        <w:t xml:space="preserve">Note: </w:t>
      </w:r>
      <w:r>
        <w:rPr>
          <w:rFonts w:ascii="Verdana" w:hAnsi="Verdana"/>
          <w:b/>
          <w:bCs/>
          <w:color w:val="555555"/>
          <w:sz w:val="17"/>
          <w:szCs w:val="17"/>
        </w:rPr>
        <w:t>Scores are not shown when the number of students tested is ten or less, either because the number of students in this category is too small for statistical accuracy or to protect student privacy.</w:t>
      </w:r>
    </w:p>
    <w:p w:rsidR="00AB7773" w:rsidRDefault="00AB7773">
      <w:pPr>
        <w:pStyle w:val="Heading4"/>
        <w:divId w:val="2099060955"/>
      </w:pPr>
      <w:r>
        <w:rPr>
          <w:color w:val="000000"/>
          <w:sz w:val="23"/>
          <w:szCs w:val="23"/>
        </w:rPr>
        <w:t>California High School Exit Examination</w:t>
      </w:r>
    </w:p>
    <w:p w:rsidR="00AB7773" w:rsidRDefault="00AB7773">
      <w:pPr>
        <w:divId w:val="2099060955"/>
        <w:rPr>
          <w:color w:val="555555"/>
        </w:rPr>
      </w:pPr>
      <w:r>
        <w:rPr>
          <w:rFonts w:ascii="Verdana" w:hAnsi="Verdana"/>
          <w:color w:val="555555"/>
          <w:sz w:val="17"/>
          <w:szCs w:val="17"/>
        </w:rPr>
        <w:t xml:space="preserve">The California High School Exit Examination (CAHSEE) is primarily used as a graduation requirement. However, the grade ten results of this exam are also used to establish the percentages of students at three proficiency levels (not proficient, proficient, or advanced) in ELA and mathematics to compute AYP designations required by the federal ESEA, also known as </w:t>
      </w:r>
      <w:r>
        <w:rPr>
          <w:rFonts w:ascii="Verdana" w:hAnsi="Verdana"/>
          <w:color w:val="555555"/>
          <w:sz w:val="17"/>
          <w:szCs w:val="17"/>
        </w:rPr>
        <w:lastRenderedPageBreak/>
        <w:t>NCLB.</w:t>
      </w:r>
      <w:r>
        <w:rPr>
          <w:color w:val="555555"/>
        </w:rPr>
        <w:br/>
      </w:r>
      <w:r>
        <w:rPr>
          <w:color w:val="555555"/>
        </w:rPr>
        <w:br/>
      </w:r>
      <w:r>
        <w:rPr>
          <w:rFonts w:ascii="Verdana" w:hAnsi="Verdana"/>
          <w:i/>
          <w:iCs/>
          <w:color w:val="555555"/>
          <w:sz w:val="17"/>
          <w:szCs w:val="17"/>
        </w:rPr>
        <w:t xml:space="preserve">For detailed information regarding CAHSEE results, see the CDE </w:t>
      </w:r>
      <w:r>
        <w:rPr>
          <w:rFonts w:ascii="Verdana" w:hAnsi="Verdana"/>
          <w:color w:val="555555"/>
          <w:sz w:val="17"/>
          <w:szCs w:val="17"/>
        </w:rPr>
        <w:t>CAHSEE Web site at</w:t>
      </w:r>
      <w:hyperlink r:id="rId13" w:history="1">
        <w:r>
          <w:rPr>
            <w:rStyle w:val="Hyperlink"/>
            <w:rFonts w:ascii="Verdana" w:hAnsi="Verdana"/>
            <w:color w:val="555555"/>
            <w:sz w:val="17"/>
            <w:szCs w:val="17"/>
          </w:rPr>
          <w:t xml:space="preserve"> http://cahsee.cde.ca.gov/</w:t>
        </w:r>
      </w:hyperlink>
      <w:r>
        <w:rPr>
          <w:rFonts w:ascii="Verdana" w:hAnsi="Verdana"/>
          <w:color w:val="555555"/>
          <w:sz w:val="17"/>
          <w:szCs w:val="17"/>
        </w:rPr>
        <w:t>.</w:t>
      </w:r>
    </w:p>
    <w:p w:rsidR="00AB7773" w:rsidRDefault="00AB7773">
      <w:pPr>
        <w:pStyle w:val="Heading4"/>
        <w:divId w:val="2099060955"/>
      </w:pPr>
      <w:r>
        <w:rPr>
          <w:color w:val="000000"/>
          <w:sz w:val="23"/>
          <w:szCs w:val="23"/>
        </w:rPr>
        <w:t>California High School Exit Examination Results for All Grade Ten Students – Three-Year Comparison (if applicable)</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08"/>
        <w:gridCol w:w="985"/>
        <w:gridCol w:w="985"/>
        <w:gridCol w:w="986"/>
        <w:gridCol w:w="986"/>
        <w:gridCol w:w="986"/>
        <w:gridCol w:w="986"/>
        <w:gridCol w:w="986"/>
        <w:gridCol w:w="986"/>
        <w:gridCol w:w="986"/>
      </w:tblGrid>
      <w:tr w:rsidR="00AB7773">
        <w:trPr>
          <w:divId w:val="209906095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rPr>
                <w:sz w:val="2"/>
              </w:rPr>
            </w:pPr>
            <w:r w:rsidRPr="00216093">
              <w:rPr>
                <w:rFonts w:ascii="Verdana" w:hAnsi="Verdana"/>
                <w:b/>
                <w:bCs/>
                <w:color w:val="FFFFFF"/>
                <w:sz w:val="18"/>
                <w:szCs w:val="18"/>
                <w:shd w:val="clear" w:color="auto" w:fill="1A4678"/>
              </w:rPr>
              <w:t>Percent of Students Scoring at Proficient or Advanced</w:t>
            </w:r>
          </w:p>
        </w:tc>
      </w:tr>
      <w:tr w:rsidR="00AB7773">
        <w:trPr>
          <w:divId w:val="2099060955"/>
          <w:trHeight w:val="330"/>
        </w:trPr>
        <w:tc>
          <w:tcPr>
            <w:tcW w:w="0" w:type="auto"/>
            <w:vMerge/>
            <w:tcBorders>
              <w:top w:val="single" w:sz="4" w:space="0" w:color="auto"/>
              <w:left w:val="single" w:sz="4" w:space="0" w:color="auto"/>
              <w:bottom w:val="single" w:sz="4" w:space="0" w:color="auto"/>
              <w:right w:val="single" w:sz="4" w:space="0" w:color="auto"/>
            </w:tcBorders>
            <w:vAlign w:val="center"/>
            <w:hideMark/>
          </w:tcPr>
          <w:p w:rsidR="00AB7773" w:rsidRDefault="00AB7773"/>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rPr>
                <w:sz w:val="2"/>
              </w:rPr>
            </w:pPr>
            <w:r w:rsidRPr="00216093">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rPr>
                <w:sz w:val="2"/>
              </w:rPr>
            </w:pPr>
            <w:r w:rsidRPr="00216093">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rPr>
                <w:sz w:val="2"/>
              </w:rPr>
            </w:pPr>
            <w:r w:rsidRPr="00216093">
              <w:rPr>
                <w:rFonts w:ascii="Verdana" w:hAnsi="Verdana"/>
                <w:b/>
                <w:bCs/>
                <w:color w:val="FFFFFF"/>
                <w:sz w:val="17"/>
                <w:szCs w:val="17"/>
                <w:shd w:val="clear" w:color="auto" w:fill="B02B2E"/>
              </w:rPr>
              <w:t>State</w:t>
            </w:r>
          </w:p>
        </w:tc>
      </w:tr>
      <w:tr w:rsidR="00AB7773">
        <w:trPr>
          <w:divId w:val="20990609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AB7773" w:rsidRDefault="00AB7773"/>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bl>
    <w:p w:rsidR="00AB7773" w:rsidRDefault="00AB7773">
      <w:pPr>
        <w:divId w:val="2099060955"/>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AB7773" w:rsidRDefault="00AB7773">
      <w:pPr>
        <w:pStyle w:val="Heading4"/>
        <w:divId w:val="2099060955"/>
      </w:pPr>
      <w:r>
        <w:rPr>
          <w:color w:val="000000"/>
          <w:sz w:val="23"/>
          <w:szCs w:val="23"/>
        </w:rPr>
        <w:t>California High School Exit Examination Grade Ten Results by Student Group – Most Recent Year (if applicable)</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10"/>
        <w:gridCol w:w="1381"/>
        <w:gridCol w:w="1126"/>
        <w:gridCol w:w="1128"/>
        <w:gridCol w:w="1381"/>
        <w:gridCol w:w="1126"/>
        <w:gridCol w:w="1128"/>
      </w:tblGrid>
      <w:tr w:rsidR="00AB7773">
        <w:trPr>
          <w:divId w:val="209906095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rPr>
                <w:sz w:val="2"/>
              </w:rPr>
            </w:pPr>
            <w:r w:rsidRPr="00216093">
              <w:rPr>
                <w:rFonts w:ascii="Verdana" w:hAnsi="Verdana"/>
                <w:b/>
                <w:bCs/>
                <w:color w:val="FFFFFF"/>
                <w:sz w:val="18"/>
                <w:szCs w:val="18"/>
                <w:shd w:val="clear" w:color="auto" w:fill="1A4678"/>
              </w:rPr>
              <w:t>English-Language Arts</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rPr>
                <w:sz w:val="2"/>
              </w:rPr>
            </w:pPr>
            <w:r w:rsidRPr="00216093">
              <w:rPr>
                <w:rFonts w:ascii="Verdana" w:hAnsi="Verdana"/>
                <w:b/>
                <w:bCs/>
                <w:color w:val="FFFFFF"/>
                <w:sz w:val="18"/>
                <w:szCs w:val="18"/>
                <w:shd w:val="clear" w:color="auto" w:fill="1A4678"/>
              </w:rPr>
              <w:t>Mathematics</w:t>
            </w:r>
          </w:p>
        </w:tc>
      </w:tr>
      <w:tr w:rsidR="00AB7773">
        <w:trPr>
          <w:divId w:val="20990609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AB7773" w:rsidRDefault="00AB7773"/>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bl>
    <w:p w:rsidR="00AB7773" w:rsidRDefault="00AB7773">
      <w:pPr>
        <w:divId w:val="2099060955"/>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EF291B" w:rsidRDefault="00EF291B">
      <w:pPr>
        <w:pStyle w:val="Heading4"/>
        <w:divId w:val="2099060955"/>
        <w:rPr>
          <w:color w:val="000000"/>
          <w:sz w:val="23"/>
          <w:szCs w:val="23"/>
        </w:rPr>
      </w:pPr>
    </w:p>
    <w:p w:rsidR="00AB7773" w:rsidRDefault="00AB7773">
      <w:pPr>
        <w:pStyle w:val="Heading4"/>
        <w:divId w:val="2099060955"/>
      </w:pPr>
      <w:r>
        <w:rPr>
          <w:color w:val="000000"/>
          <w:sz w:val="23"/>
          <w:szCs w:val="23"/>
        </w:rPr>
        <w:lastRenderedPageBreak/>
        <w:t>California Physical Fitness Test Results (School Year 2010–11)</w:t>
      </w:r>
    </w:p>
    <w:p w:rsidR="00AB7773" w:rsidRDefault="00AB7773">
      <w:pPr>
        <w:divId w:val="2099060955"/>
        <w:rPr>
          <w:color w:val="555555"/>
        </w:rPr>
      </w:pPr>
      <w:r>
        <w:rPr>
          <w:rFonts w:ascii="Verdana" w:hAnsi="Verdana"/>
          <w:color w:val="555555"/>
          <w:sz w:val="17"/>
          <w:szCs w:val="17"/>
        </w:rPr>
        <w:t xml:space="preserve">The California Physical Fitness Test (PFT) is administered to students in grades five, seven, and nine only. This table displays by grade level the percent of students meeting the fitness standards for the most recent testing period. For detailed information regarding this test, and comparisons of a school’s test results to the district and state, see the CDE </w:t>
      </w:r>
      <w:r>
        <w:rPr>
          <w:rFonts w:ascii="Verdana" w:hAnsi="Verdana"/>
          <w:i/>
          <w:iCs/>
          <w:color w:val="555555"/>
          <w:sz w:val="17"/>
          <w:szCs w:val="17"/>
        </w:rPr>
        <w:t>PFT</w:t>
      </w:r>
      <w:r>
        <w:rPr>
          <w:rFonts w:ascii="Verdana" w:hAnsi="Verdana"/>
          <w:color w:val="555555"/>
          <w:sz w:val="17"/>
          <w:szCs w:val="17"/>
        </w:rPr>
        <w:t xml:space="preserve"> Web page at</w:t>
      </w:r>
      <w:hyperlink r:id="rId14" w:history="1">
        <w:r>
          <w:rPr>
            <w:rStyle w:val="Hyperlink"/>
            <w:rFonts w:ascii="Verdana" w:hAnsi="Verdana"/>
            <w:color w:val="555555"/>
            <w:sz w:val="17"/>
            <w:szCs w:val="17"/>
          </w:rPr>
          <w:t xml:space="preserve"> http://www.cde.ca.gov/ta/tg/pf/</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5"/>
        <w:gridCol w:w="2258"/>
        <w:gridCol w:w="2218"/>
        <w:gridCol w:w="2118"/>
      </w:tblGrid>
      <w:tr w:rsidR="00AB7773">
        <w:trPr>
          <w:divId w:val="209906095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rPr>
                <w:sz w:val="2"/>
              </w:rPr>
            </w:pPr>
            <w:r w:rsidRPr="00216093">
              <w:rPr>
                <w:rFonts w:ascii="Verdana" w:hAnsi="Verdana"/>
                <w:b/>
                <w:bCs/>
                <w:color w:val="FFFFFF"/>
                <w:sz w:val="18"/>
                <w:szCs w:val="18"/>
                <w:shd w:val="clear" w:color="auto" w:fill="1A4678"/>
              </w:rPr>
              <w:t>Percent of Students Meeting Fitness Standards</w:t>
            </w:r>
          </w:p>
        </w:tc>
      </w:tr>
      <w:tr w:rsidR="00AB7773">
        <w:trPr>
          <w:divId w:val="20990609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AB7773" w:rsidRDefault="00AB7773"/>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Four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Five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Six of Six Standards</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7.10%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9.30%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r>
    </w:tbl>
    <w:p w:rsidR="00AB7773" w:rsidRDefault="00AB7773">
      <w:pPr>
        <w:divId w:val="2099060955"/>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AB7773" w:rsidRDefault="00AB7773">
      <w:pPr>
        <w:pStyle w:val="Heading2"/>
        <w:divId w:val="2099060955"/>
      </w:pPr>
      <w:r>
        <w:rPr>
          <w:color w:val="000000"/>
          <w:sz w:val="32"/>
          <w:szCs w:val="32"/>
        </w:rPr>
        <w:t>X. Accountability</w:t>
      </w:r>
    </w:p>
    <w:p w:rsidR="00AB7773" w:rsidRDefault="00AB7773">
      <w:pPr>
        <w:pStyle w:val="Heading4"/>
        <w:divId w:val="2099060955"/>
      </w:pPr>
      <w:r>
        <w:rPr>
          <w:color w:val="000000"/>
          <w:sz w:val="23"/>
          <w:szCs w:val="23"/>
        </w:rPr>
        <w:t>Academic Performance Index</w:t>
      </w:r>
    </w:p>
    <w:p w:rsidR="00AB7773" w:rsidRDefault="00AB7773">
      <w:pPr>
        <w:divId w:val="2099060955"/>
        <w:rPr>
          <w:color w:val="555555"/>
        </w:rPr>
      </w:pPr>
      <w:r>
        <w:rPr>
          <w:rFonts w:ascii="Verdana" w:hAnsi="Verdana"/>
          <w:color w:val="555555"/>
          <w:sz w:val="17"/>
          <w:szCs w:val="17"/>
        </w:rPr>
        <w:t xml:space="preserve">The Academic Performance Index (API) is an annual measure of state academic performance and progress of schools in California. API scores range from 200 to 1,000, with a statewide target of 800. For detailed information about the API, see the CDE </w:t>
      </w:r>
      <w:r>
        <w:rPr>
          <w:rFonts w:ascii="Verdana" w:hAnsi="Verdana"/>
          <w:i/>
          <w:iCs/>
          <w:color w:val="555555"/>
          <w:sz w:val="17"/>
          <w:szCs w:val="17"/>
        </w:rPr>
        <w:t>API</w:t>
      </w:r>
      <w:r>
        <w:rPr>
          <w:rFonts w:ascii="Verdana" w:hAnsi="Verdana"/>
          <w:color w:val="555555"/>
          <w:sz w:val="17"/>
          <w:szCs w:val="17"/>
        </w:rPr>
        <w:t xml:space="preserve"> </w:t>
      </w:r>
      <w:r>
        <w:rPr>
          <w:rFonts w:ascii="Verdana" w:hAnsi="Verdana"/>
          <w:i/>
          <w:iCs/>
          <w:color w:val="555555"/>
          <w:sz w:val="17"/>
          <w:szCs w:val="17"/>
        </w:rPr>
        <w:t>Web page at</w:t>
      </w:r>
      <w:hyperlink r:id="rId15"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http://www.cde.ca.gov/ta/ac/ap/</w:t>
        </w:r>
      </w:hyperlink>
      <w:r>
        <w:rPr>
          <w:rFonts w:ascii="Verdana" w:hAnsi="Verdana"/>
          <w:color w:val="555555"/>
          <w:sz w:val="17"/>
          <w:szCs w:val="17"/>
        </w:rPr>
        <w:t>.</w:t>
      </w:r>
    </w:p>
    <w:p w:rsidR="00AB7773" w:rsidRDefault="00AB7773">
      <w:pPr>
        <w:pStyle w:val="Heading4"/>
        <w:divId w:val="2099060955"/>
      </w:pPr>
      <w:r>
        <w:rPr>
          <w:color w:val="000000"/>
          <w:sz w:val="23"/>
          <w:szCs w:val="23"/>
        </w:rPr>
        <w:t>Academic Performance Index Ranks – Three-Year Comparison</w:t>
      </w:r>
    </w:p>
    <w:p w:rsidR="00AB7773" w:rsidRDefault="00AB7773">
      <w:pPr>
        <w:divId w:val="2099060955"/>
        <w:rPr>
          <w:color w:val="555555"/>
        </w:rPr>
      </w:pPr>
      <w:r>
        <w:rPr>
          <w:rFonts w:ascii="Verdana" w:hAnsi="Verdana"/>
          <w:color w:val="555555"/>
          <w:sz w:val="17"/>
          <w:szCs w:val="17"/>
        </w:rPr>
        <w:t xml:space="preserve">This table displays the school’s statewide and similar schools’ API ranks. The </w:t>
      </w:r>
      <w:r>
        <w:rPr>
          <w:rFonts w:ascii="Verdana" w:hAnsi="Verdana"/>
          <w:b/>
          <w:bCs/>
          <w:i/>
          <w:iCs/>
          <w:color w:val="555555"/>
          <w:sz w:val="17"/>
          <w:szCs w:val="17"/>
        </w:rPr>
        <w:t>statewide API rank</w:t>
      </w:r>
      <w:r>
        <w:rPr>
          <w:rFonts w:ascii="Verdana" w:hAnsi="Verdana"/>
          <w:color w:val="555555"/>
          <w:sz w:val="17"/>
          <w:szCs w:val="17"/>
        </w:rPr>
        <w:t xml:space="preserve"> ranges from 1 to 10. A statewide rank of 1 means that the school has an API score in the lowest ten percent of all schools in the state, while a statewide rank of 10 means that the school has an API score in the highest ten percent of all schools in the state.</w:t>
      </w:r>
      <w:r>
        <w:rPr>
          <w:color w:val="555555"/>
        </w:rPr>
        <w:br/>
      </w:r>
      <w:r>
        <w:rPr>
          <w:color w:val="555555"/>
        </w:rPr>
        <w:br/>
      </w:r>
      <w:r>
        <w:rPr>
          <w:rFonts w:ascii="Verdana" w:hAnsi="Verdana"/>
          <w:color w:val="555555"/>
          <w:sz w:val="17"/>
          <w:szCs w:val="17"/>
        </w:rPr>
        <w:t xml:space="preserve">The </w:t>
      </w:r>
      <w:r>
        <w:rPr>
          <w:rFonts w:ascii="Verdana" w:hAnsi="Verdana"/>
          <w:b/>
          <w:bCs/>
          <w:i/>
          <w:iCs/>
          <w:color w:val="555555"/>
          <w:sz w:val="17"/>
          <w:szCs w:val="17"/>
        </w:rPr>
        <w:t>similar schools API rank</w:t>
      </w:r>
      <w:r>
        <w:rPr>
          <w:rFonts w:ascii="Verdana" w:hAnsi="Verdana"/>
          <w:color w:val="555555"/>
          <w:sz w:val="17"/>
          <w:szCs w:val="17"/>
        </w:rPr>
        <w:t xml:space="preserve"> reflects how a school compares to 100 statistically matched “similar schools.” A similar schools rank of 1 means that the school’s academic performance is comparable to the lowest performing ten schools of the 100 similar schools, while a similar schools rank of 10 means that the school’s academic performance is better than at least 90 of the 100 similar schools.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56"/>
        <w:gridCol w:w="742"/>
        <w:gridCol w:w="742"/>
        <w:gridCol w:w="742"/>
      </w:tblGrid>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API Rank</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2008</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Similar Schools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r>
    </w:tbl>
    <w:p w:rsidR="00AB7773" w:rsidRDefault="00AB7773">
      <w:pPr>
        <w:divId w:val="2099060955"/>
        <w:rPr>
          <w:color w:val="555555"/>
        </w:rPr>
      </w:pPr>
    </w:p>
    <w:p w:rsidR="00EF291B" w:rsidRDefault="00EF291B">
      <w:pPr>
        <w:pStyle w:val="Heading4"/>
        <w:divId w:val="2099060955"/>
        <w:rPr>
          <w:color w:val="000000"/>
          <w:sz w:val="23"/>
          <w:szCs w:val="23"/>
        </w:rPr>
      </w:pPr>
    </w:p>
    <w:p w:rsidR="00EF291B" w:rsidRDefault="00EF291B">
      <w:pPr>
        <w:pStyle w:val="Heading4"/>
        <w:divId w:val="2099060955"/>
        <w:rPr>
          <w:color w:val="000000"/>
          <w:sz w:val="23"/>
          <w:szCs w:val="23"/>
        </w:rPr>
      </w:pPr>
    </w:p>
    <w:p w:rsidR="00EF291B" w:rsidRDefault="00EF291B">
      <w:pPr>
        <w:pStyle w:val="Heading4"/>
        <w:divId w:val="2099060955"/>
        <w:rPr>
          <w:color w:val="000000"/>
          <w:sz w:val="23"/>
          <w:szCs w:val="23"/>
        </w:rPr>
      </w:pPr>
    </w:p>
    <w:p w:rsidR="00EF291B" w:rsidRDefault="00EF291B">
      <w:pPr>
        <w:pStyle w:val="Heading4"/>
        <w:divId w:val="2099060955"/>
        <w:rPr>
          <w:color w:val="000000"/>
          <w:sz w:val="23"/>
          <w:szCs w:val="23"/>
        </w:rPr>
      </w:pPr>
    </w:p>
    <w:p w:rsidR="00EF291B" w:rsidRDefault="00EF291B">
      <w:pPr>
        <w:pStyle w:val="Heading4"/>
        <w:divId w:val="2099060955"/>
        <w:rPr>
          <w:color w:val="000000"/>
          <w:sz w:val="23"/>
          <w:szCs w:val="23"/>
        </w:rPr>
      </w:pPr>
    </w:p>
    <w:p w:rsidR="00EF291B" w:rsidRDefault="00EF291B">
      <w:pPr>
        <w:pStyle w:val="Heading4"/>
        <w:divId w:val="2099060955"/>
        <w:rPr>
          <w:color w:val="000000"/>
          <w:sz w:val="23"/>
          <w:szCs w:val="23"/>
        </w:rPr>
      </w:pPr>
    </w:p>
    <w:p w:rsidR="00EF291B" w:rsidRDefault="00EF291B">
      <w:pPr>
        <w:pStyle w:val="Heading4"/>
        <w:divId w:val="2099060955"/>
        <w:rPr>
          <w:color w:val="000000"/>
          <w:sz w:val="23"/>
          <w:szCs w:val="23"/>
        </w:rPr>
      </w:pPr>
    </w:p>
    <w:p w:rsidR="00EF291B" w:rsidRDefault="00EF291B">
      <w:pPr>
        <w:pStyle w:val="Heading4"/>
        <w:divId w:val="2099060955"/>
        <w:rPr>
          <w:color w:val="000000"/>
          <w:sz w:val="23"/>
          <w:szCs w:val="23"/>
        </w:rPr>
      </w:pPr>
    </w:p>
    <w:p w:rsidR="00AB7773" w:rsidRDefault="00AB7773">
      <w:pPr>
        <w:pStyle w:val="Heading4"/>
        <w:divId w:val="2099060955"/>
      </w:pPr>
      <w:r>
        <w:rPr>
          <w:color w:val="000000"/>
          <w:sz w:val="23"/>
          <w:szCs w:val="23"/>
        </w:rPr>
        <w:lastRenderedPageBreak/>
        <w:t>Academic Performance Index Growth by Student Group – Three-Year Comparison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86"/>
        <w:gridCol w:w="2588"/>
        <w:gridCol w:w="2588"/>
        <w:gridCol w:w="2588"/>
      </w:tblGrid>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2010–11</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bl>
    <w:p w:rsidR="00AB7773" w:rsidRDefault="00AB7773">
      <w:pPr>
        <w:divId w:val="2099060955"/>
        <w:rPr>
          <w:color w:val="555555"/>
        </w:rPr>
      </w:pPr>
      <w:r>
        <w:rPr>
          <w:color w:val="555555"/>
        </w:rPr>
        <w:br/>
      </w:r>
      <w:r>
        <w:rPr>
          <w:rFonts w:ascii="Verdana" w:hAnsi="Verdana"/>
          <w:color w:val="555555"/>
          <w:sz w:val="17"/>
          <w:szCs w:val="17"/>
        </w:rPr>
        <w:t>Note: “N/D” means that no data were available to the CDE or LEA to report. “B” means the school did not have a valid API Base and there is no Growth or target information. “C” means the school had significant demographic changes and there is no Growth or target information.</w:t>
      </w:r>
    </w:p>
    <w:p w:rsidR="00AB7773" w:rsidRDefault="00AB7773">
      <w:pPr>
        <w:pStyle w:val="Heading4"/>
        <w:divId w:val="2099060955"/>
      </w:pPr>
      <w:r>
        <w:rPr>
          <w:color w:val="000000"/>
          <w:sz w:val="23"/>
          <w:szCs w:val="23"/>
        </w:rPr>
        <w:t>Academic Performance Index Growth by Student Group – 2011 Growth API Comparison</w:t>
      </w:r>
    </w:p>
    <w:p w:rsidR="00AB7773" w:rsidRDefault="00AB7773">
      <w:pPr>
        <w:divId w:val="2099060955"/>
        <w:rPr>
          <w:color w:val="555555"/>
        </w:rPr>
      </w:pPr>
      <w:r>
        <w:rPr>
          <w:rFonts w:ascii="Verdana" w:hAnsi="Verdana"/>
          <w:color w:val="555555"/>
          <w:sz w:val="17"/>
          <w:szCs w:val="17"/>
        </w:rPr>
        <w:t>This table displays, by student group, the number of students included in the API and the 2011 Growth API at the school, LEA, and state level.</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12"/>
        <w:gridCol w:w="1890"/>
        <w:gridCol w:w="834"/>
        <w:gridCol w:w="1890"/>
        <w:gridCol w:w="557"/>
        <w:gridCol w:w="1894"/>
        <w:gridCol w:w="703"/>
      </w:tblGrid>
      <w:tr w:rsidR="00AB7773">
        <w:trPr>
          <w:divId w:val="209906095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6"/>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rPr>
                <w:sz w:val="2"/>
              </w:rPr>
            </w:pPr>
            <w:r w:rsidRPr="00216093">
              <w:rPr>
                <w:rFonts w:ascii="Verdana" w:hAnsi="Verdana"/>
                <w:b/>
                <w:bCs/>
                <w:color w:val="FFFFFF"/>
                <w:sz w:val="18"/>
                <w:szCs w:val="18"/>
                <w:shd w:val="clear" w:color="auto" w:fill="1A4678"/>
              </w:rPr>
              <w:t>2011 Growth API</w:t>
            </w:r>
          </w:p>
        </w:tc>
      </w:tr>
      <w:tr w:rsidR="00AB7773">
        <w:trPr>
          <w:divId w:val="20990609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AB7773" w:rsidRDefault="00AB7773"/>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LEA</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683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13,537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4,683,676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778</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317,856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696</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33,774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733</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406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933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398,869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898</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123,245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859</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225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2,406,749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729</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26,953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764</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1,258,831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845</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909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76,766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836</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2,731,843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726</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1,521,844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707</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521,815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595</w:t>
            </w:r>
          </w:p>
        </w:tc>
      </w:tr>
    </w:tbl>
    <w:p w:rsidR="00AB7773" w:rsidRDefault="00AB7773">
      <w:pPr>
        <w:divId w:val="2099060955"/>
        <w:rPr>
          <w:color w:val="555555"/>
        </w:rPr>
      </w:pPr>
    </w:p>
    <w:p w:rsidR="00AB7773" w:rsidRDefault="00AB7773">
      <w:pPr>
        <w:pStyle w:val="Heading4"/>
        <w:divId w:val="2099060955"/>
      </w:pPr>
      <w:r>
        <w:rPr>
          <w:color w:val="000000"/>
          <w:sz w:val="23"/>
          <w:szCs w:val="23"/>
        </w:rPr>
        <w:lastRenderedPageBreak/>
        <w:t>Adequate Yearly Progress</w:t>
      </w:r>
    </w:p>
    <w:p w:rsidR="00AB7773" w:rsidRDefault="00AB7773">
      <w:pPr>
        <w:divId w:val="2099060955"/>
        <w:rPr>
          <w:color w:val="555555"/>
        </w:rPr>
      </w:pPr>
      <w:r>
        <w:rPr>
          <w:rFonts w:ascii="Verdana" w:hAnsi="Verdana"/>
          <w:color w:val="555555"/>
          <w:sz w:val="17"/>
          <w:szCs w:val="17"/>
        </w:rPr>
        <w:t>The federal ESEA requires that all schools and districts meet the following Adequate Yearly Progress (AYP) criteria:</w:t>
      </w:r>
    </w:p>
    <w:p w:rsidR="00AB7773" w:rsidRDefault="00AB7773">
      <w:pPr>
        <w:numPr>
          <w:ilvl w:val="0"/>
          <w:numId w:val="6"/>
        </w:numPr>
        <w:spacing w:before="100" w:beforeAutospacing="1" w:after="100" w:afterAutospacing="1"/>
        <w:textAlignment w:val="baseline"/>
        <w:divId w:val="2099060955"/>
        <w:rPr>
          <w:rFonts w:ascii="Arial" w:hAnsi="Arial" w:cs="Arial"/>
          <w:color w:val="000000"/>
          <w:sz w:val="23"/>
          <w:szCs w:val="23"/>
        </w:rPr>
      </w:pPr>
      <w:r>
        <w:rPr>
          <w:rFonts w:ascii="Verdana" w:hAnsi="Verdana" w:cs="Arial"/>
          <w:color w:val="555555"/>
          <w:sz w:val="17"/>
          <w:szCs w:val="17"/>
        </w:rPr>
        <w:t>Participation rate on the state’s standards-based assessments in ELA and mathematics</w:t>
      </w:r>
    </w:p>
    <w:p w:rsidR="00AB7773" w:rsidRDefault="00AB7773">
      <w:pPr>
        <w:numPr>
          <w:ilvl w:val="0"/>
          <w:numId w:val="6"/>
        </w:numPr>
        <w:spacing w:before="100" w:beforeAutospacing="1" w:after="100" w:afterAutospacing="1"/>
        <w:textAlignment w:val="baseline"/>
        <w:divId w:val="2099060955"/>
        <w:rPr>
          <w:rFonts w:ascii="Arial" w:hAnsi="Arial" w:cs="Arial"/>
          <w:color w:val="000000"/>
          <w:sz w:val="23"/>
          <w:szCs w:val="23"/>
        </w:rPr>
      </w:pPr>
      <w:r>
        <w:rPr>
          <w:rFonts w:ascii="Verdana" w:hAnsi="Verdana" w:cs="Arial"/>
          <w:color w:val="555555"/>
          <w:sz w:val="17"/>
          <w:szCs w:val="17"/>
        </w:rPr>
        <w:t>Percent proficient on the state’s standards-based assessments in ELA and mathematics</w:t>
      </w:r>
    </w:p>
    <w:p w:rsidR="00AB7773" w:rsidRDefault="00AB7773">
      <w:pPr>
        <w:numPr>
          <w:ilvl w:val="0"/>
          <w:numId w:val="6"/>
        </w:numPr>
        <w:spacing w:before="100" w:beforeAutospacing="1" w:after="100" w:afterAutospacing="1"/>
        <w:textAlignment w:val="baseline"/>
        <w:divId w:val="2099060955"/>
        <w:rPr>
          <w:rFonts w:ascii="Arial" w:hAnsi="Arial" w:cs="Arial"/>
          <w:color w:val="000000"/>
          <w:sz w:val="23"/>
          <w:szCs w:val="23"/>
        </w:rPr>
      </w:pPr>
      <w:r>
        <w:rPr>
          <w:rFonts w:ascii="Verdana" w:hAnsi="Verdana" w:cs="Arial"/>
          <w:color w:val="555555"/>
          <w:sz w:val="17"/>
          <w:szCs w:val="17"/>
        </w:rPr>
        <w:t>API as an additional indicator</w:t>
      </w:r>
    </w:p>
    <w:p w:rsidR="00AB7773" w:rsidRDefault="00AB7773">
      <w:pPr>
        <w:numPr>
          <w:ilvl w:val="0"/>
          <w:numId w:val="6"/>
        </w:numPr>
        <w:spacing w:before="100" w:beforeAutospacing="1" w:after="100" w:afterAutospacing="1"/>
        <w:textAlignment w:val="baseline"/>
        <w:divId w:val="2099060955"/>
        <w:rPr>
          <w:rFonts w:ascii="Arial" w:hAnsi="Arial" w:cs="Arial"/>
          <w:color w:val="000000"/>
          <w:sz w:val="23"/>
          <w:szCs w:val="23"/>
        </w:rPr>
      </w:pPr>
      <w:r>
        <w:rPr>
          <w:rFonts w:ascii="Verdana" w:hAnsi="Verdana" w:cs="Arial"/>
          <w:color w:val="555555"/>
          <w:sz w:val="17"/>
          <w:szCs w:val="17"/>
        </w:rPr>
        <w:t>Graduation rate (for secondary schools)</w:t>
      </w:r>
    </w:p>
    <w:p w:rsidR="00AB7773" w:rsidRDefault="00AB7773">
      <w:pPr>
        <w:divId w:val="2099060955"/>
        <w:rPr>
          <w:color w:val="555555"/>
        </w:rPr>
      </w:pPr>
      <w:r>
        <w:rPr>
          <w:color w:val="555555"/>
        </w:rPr>
        <w:br/>
      </w:r>
      <w:r>
        <w:rPr>
          <w:color w:val="555555"/>
        </w:rPr>
        <w:br/>
      </w:r>
      <w:r>
        <w:rPr>
          <w:rFonts w:ascii="Verdana" w:hAnsi="Verdana"/>
          <w:color w:val="555555"/>
          <w:sz w:val="17"/>
          <w:szCs w:val="17"/>
        </w:rPr>
        <w:t xml:space="preserve">For detailed information about AYP, including participation rates and percent proficient results by student group, see the CDE </w:t>
      </w:r>
      <w:r>
        <w:rPr>
          <w:rFonts w:ascii="Verdana" w:hAnsi="Verdana"/>
          <w:i/>
          <w:iCs/>
          <w:color w:val="555555"/>
          <w:sz w:val="17"/>
          <w:szCs w:val="17"/>
        </w:rPr>
        <w:t>AYP</w:t>
      </w:r>
      <w:r>
        <w:rPr>
          <w:rFonts w:ascii="Verdana" w:hAnsi="Verdana"/>
          <w:color w:val="555555"/>
          <w:sz w:val="17"/>
          <w:szCs w:val="17"/>
        </w:rPr>
        <w:t xml:space="preserve"> </w:t>
      </w:r>
      <w:r>
        <w:rPr>
          <w:rFonts w:ascii="Verdana" w:hAnsi="Verdana"/>
          <w:i/>
          <w:iCs/>
          <w:color w:val="555555"/>
          <w:sz w:val="17"/>
          <w:szCs w:val="17"/>
        </w:rPr>
        <w:t>Web page at</w:t>
      </w:r>
      <w:hyperlink r:id="rId16"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http://www.cde.ca.gov/ta/ac/ay/</w:t>
        </w:r>
      </w:hyperlink>
      <w:r>
        <w:rPr>
          <w:rFonts w:ascii="Verdana" w:hAnsi="Verdana"/>
          <w:color w:val="555555"/>
          <w:sz w:val="17"/>
          <w:szCs w:val="17"/>
        </w:rPr>
        <w:t>.</w:t>
      </w:r>
    </w:p>
    <w:p w:rsidR="00AB7773" w:rsidRDefault="00AB7773">
      <w:pPr>
        <w:pStyle w:val="Heading4"/>
        <w:divId w:val="2099060955"/>
      </w:pPr>
      <w:r>
        <w:rPr>
          <w:color w:val="000000"/>
          <w:sz w:val="23"/>
          <w:szCs w:val="23"/>
        </w:rPr>
        <w:t>Adequate Yearly Progress Overall and by Criteria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72"/>
        <w:gridCol w:w="901"/>
        <w:gridCol w:w="969"/>
      </w:tblGrid>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AYP Criteria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Made AYP Overall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API Criteria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bl>
    <w:p w:rsidR="00AB7773" w:rsidRDefault="00AB7773">
      <w:pPr>
        <w:divId w:val="2099060955"/>
        <w:rPr>
          <w:color w:val="555555"/>
        </w:rPr>
      </w:pPr>
    </w:p>
    <w:p w:rsidR="00AB7773" w:rsidRDefault="00AB7773">
      <w:pPr>
        <w:pStyle w:val="Heading4"/>
        <w:divId w:val="2099060955"/>
      </w:pPr>
      <w:r>
        <w:rPr>
          <w:color w:val="000000"/>
          <w:sz w:val="23"/>
          <w:szCs w:val="23"/>
        </w:rPr>
        <w:t>Federal Intervention Program (School Year 2011–12)</w:t>
      </w:r>
    </w:p>
    <w:p w:rsidR="00AB7773" w:rsidRDefault="00AB7773">
      <w:pPr>
        <w:divId w:val="2099060955"/>
        <w:rPr>
          <w:color w:val="555555"/>
        </w:rPr>
      </w:pPr>
      <w:r>
        <w:rPr>
          <w:rFonts w:ascii="Verdana" w:hAnsi="Verdana"/>
          <w:color w:val="555555"/>
          <w:sz w:val="17"/>
          <w:szCs w:val="17"/>
        </w:rPr>
        <w:t xml:space="preserve">Schools and districts receiving federal Title I funding enter Program Improvement (PI) if they do not make AYP for two consecutive years in the same content area (ELA or mathematics) or on the same indicator (API or graduation rate). After entering PI, schools and districts advance to the next level of intervention with each additional year that they do not make AYP. For detailed information about PI identification, see the CDE </w:t>
      </w:r>
      <w:r>
        <w:rPr>
          <w:rFonts w:ascii="Verdana" w:hAnsi="Verdana"/>
          <w:i/>
          <w:iCs/>
          <w:color w:val="555555"/>
          <w:sz w:val="17"/>
          <w:szCs w:val="17"/>
        </w:rPr>
        <w:t>PI Status Determinations</w:t>
      </w:r>
      <w:r>
        <w:rPr>
          <w:rFonts w:ascii="Verdana" w:hAnsi="Verdana"/>
          <w:color w:val="555555"/>
          <w:sz w:val="17"/>
          <w:szCs w:val="17"/>
        </w:rPr>
        <w:t xml:space="preserve"> </w:t>
      </w:r>
      <w:r>
        <w:rPr>
          <w:rFonts w:ascii="Verdana" w:hAnsi="Verdana"/>
          <w:i/>
          <w:iCs/>
          <w:color w:val="555555"/>
          <w:sz w:val="17"/>
          <w:szCs w:val="17"/>
        </w:rPr>
        <w:t>Web</w:t>
      </w:r>
      <w:r>
        <w:rPr>
          <w:rFonts w:ascii="Verdana" w:hAnsi="Verdana"/>
          <w:color w:val="555555"/>
          <w:sz w:val="17"/>
          <w:szCs w:val="17"/>
        </w:rPr>
        <w:t xml:space="preserve"> page:</w:t>
      </w:r>
      <w:hyperlink r:id="rId17" w:history="1">
        <w:r>
          <w:rPr>
            <w:rStyle w:val="Hyperlink"/>
            <w:rFonts w:ascii="Verdana" w:hAnsi="Verdana"/>
            <w:color w:val="555555"/>
            <w:sz w:val="17"/>
            <w:szCs w:val="17"/>
          </w:rPr>
          <w:t xml:space="preserve"> http://www.cde.ca.gov/ta/ac/ay/tidetermine.asp</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26"/>
        <w:gridCol w:w="936"/>
        <w:gridCol w:w="1132"/>
      </w:tblGrid>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Program Improvement Status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Not in PI</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In PI</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First Year of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2008-2009</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Year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Year 3</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38.9%</w:t>
            </w:r>
          </w:p>
        </w:tc>
      </w:tr>
    </w:tbl>
    <w:p w:rsidR="00AB7773" w:rsidRDefault="00AB7773">
      <w:pPr>
        <w:divId w:val="2099060955"/>
        <w:rPr>
          <w:color w:val="555555"/>
        </w:rPr>
      </w:pPr>
      <w:r>
        <w:rPr>
          <w:color w:val="555555"/>
        </w:rPr>
        <w:br/>
      </w:r>
      <w:r>
        <w:rPr>
          <w:rFonts w:ascii="Verdana" w:hAnsi="Verdana"/>
          <w:color w:val="555555"/>
          <w:sz w:val="17"/>
          <w:szCs w:val="17"/>
        </w:rPr>
        <w:t>Note: Cells shaded in black do not require data.</w:t>
      </w:r>
    </w:p>
    <w:p w:rsidR="00AB7773" w:rsidRDefault="00AB7773">
      <w:pPr>
        <w:pStyle w:val="Heading2"/>
        <w:divId w:val="2099060955"/>
      </w:pPr>
      <w:r>
        <w:rPr>
          <w:color w:val="000000"/>
          <w:sz w:val="32"/>
          <w:szCs w:val="32"/>
        </w:rPr>
        <w:t>XI. School Completion and Postsecondary Preparation</w:t>
      </w:r>
    </w:p>
    <w:p w:rsidR="00AB7773" w:rsidRDefault="00AB7773">
      <w:pPr>
        <w:pStyle w:val="Heading4"/>
        <w:divId w:val="2099060955"/>
      </w:pPr>
      <w:r>
        <w:rPr>
          <w:color w:val="000000"/>
          <w:sz w:val="23"/>
          <w:szCs w:val="23"/>
        </w:rPr>
        <w:t>Admission Requirements for California’s Public Universities</w:t>
      </w:r>
    </w:p>
    <w:p w:rsidR="00AB7773" w:rsidRDefault="00AB7773">
      <w:pPr>
        <w:pStyle w:val="Heading4"/>
        <w:divId w:val="2099060955"/>
      </w:pPr>
      <w:r>
        <w:rPr>
          <w:color w:val="000000"/>
          <w:sz w:val="23"/>
          <w:szCs w:val="23"/>
        </w:rPr>
        <w:t>University of California</w:t>
      </w:r>
    </w:p>
    <w:p w:rsidR="00AB7773" w:rsidRDefault="00AB7773">
      <w:pPr>
        <w:divId w:val="2099060955"/>
        <w:rPr>
          <w:color w:val="555555"/>
        </w:rPr>
      </w:pPr>
      <w:r>
        <w:rPr>
          <w:rFonts w:ascii="Verdana" w:hAnsi="Verdana"/>
          <w:color w:val="555555"/>
          <w:sz w:val="17"/>
          <w:szCs w:val="17"/>
        </w:rPr>
        <w:t>Admission requirements for the University of California (UC) follow guidelines set forth in the Master Plan, which requires that the top one-eighth of the state’s high school graduates, as well as those transfer students who have successfully completed specified college course work, be eligible for admission to the UC. These requirements are designed to ensure that all eligible students are adequately prepared for University-level work.</w:t>
      </w:r>
      <w:r>
        <w:rPr>
          <w:color w:val="555555"/>
        </w:rPr>
        <w:br/>
      </w:r>
      <w:r>
        <w:rPr>
          <w:rFonts w:ascii="Verdana" w:hAnsi="Verdana"/>
          <w:color w:val="555555"/>
          <w:sz w:val="17"/>
          <w:szCs w:val="17"/>
        </w:rPr>
        <w:lastRenderedPageBreak/>
        <w:t xml:space="preserve">For general admissions requirements, please visit the </w:t>
      </w:r>
      <w:r>
        <w:rPr>
          <w:rFonts w:ascii="Verdana" w:hAnsi="Verdana"/>
          <w:i/>
          <w:iCs/>
          <w:color w:val="555555"/>
          <w:sz w:val="17"/>
          <w:szCs w:val="17"/>
        </w:rPr>
        <w:t xml:space="preserve">UC Admissions Information </w:t>
      </w:r>
      <w:r>
        <w:rPr>
          <w:rFonts w:ascii="Verdana" w:hAnsi="Verdana"/>
          <w:color w:val="555555"/>
          <w:sz w:val="17"/>
          <w:szCs w:val="17"/>
        </w:rPr>
        <w:t>Web page at</w:t>
      </w:r>
      <w:hyperlink r:id="rId18" w:history="1">
        <w:r>
          <w:rPr>
            <w:rStyle w:val="Hyperlink"/>
            <w:rFonts w:ascii="Verdana" w:hAnsi="Verdana"/>
            <w:color w:val="555555"/>
            <w:sz w:val="17"/>
            <w:szCs w:val="17"/>
          </w:rPr>
          <w:t xml:space="preserve"> http://www.universityofcalifornia.edu/admissions/</w:t>
        </w:r>
      </w:hyperlink>
      <w:r>
        <w:rPr>
          <w:rFonts w:ascii="Verdana" w:hAnsi="Verdana"/>
          <w:color w:val="555555"/>
          <w:sz w:val="17"/>
          <w:szCs w:val="17"/>
        </w:rPr>
        <w:t>. (Outside source)</w:t>
      </w:r>
    </w:p>
    <w:p w:rsidR="00AB7773" w:rsidRDefault="00AB7773">
      <w:pPr>
        <w:pStyle w:val="Heading4"/>
        <w:divId w:val="2099060955"/>
      </w:pPr>
      <w:r>
        <w:rPr>
          <w:color w:val="000000"/>
          <w:sz w:val="23"/>
          <w:szCs w:val="23"/>
        </w:rPr>
        <w:t>California State University</w:t>
      </w:r>
    </w:p>
    <w:p w:rsidR="00AB7773" w:rsidRDefault="00AB7773">
      <w:pPr>
        <w:divId w:val="2099060955"/>
        <w:rPr>
          <w:color w:val="555555"/>
        </w:rPr>
      </w:pPr>
      <w:r>
        <w:rPr>
          <w:rFonts w:ascii="Verdana" w:hAnsi="Verdana"/>
          <w:color w:val="555555"/>
          <w:sz w:val="17"/>
          <w:szCs w:val="17"/>
        </w:rPr>
        <w:t>Eligibility for admission to the California State University (CSU) is determined by three factors:</w:t>
      </w:r>
    </w:p>
    <w:p w:rsidR="00AB7773" w:rsidRDefault="00AB7773">
      <w:pPr>
        <w:numPr>
          <w:ilvl w:val="0"/>
          <w:numId w:val="7"/>
        </w:numPr>
        <w:spacing w:before="100" w:beforeAutospacing="1" w:after="100" w:afterAutospacing="1"/>
        <w:textAlignment w:val="baseline"/>
        <w:divId w:val="2099060955"/>
        <w:rPr>
          <w:rFonts w:ascii="Arial" w:hAnsi="Arial" w:cs="Arial"/>
          <w:color w:val="000000"/>
          <w:sz w:val="23"/>
          <w:szCs w:val="23"/>
        </w:rPr>
      </w:pPr>
      <w:r>
        <w:rPr>
          <w:rFonts w:ascii="Verdana" w:hAnsi="Verdana" w:cs="Arial"/>
          <w:color w:val="555555"/>
          <w:sz w:val="17"/>
          <w:szCs w:val="17"/>
        </w:rPr>
        <w:t>Specific high school courses</w:t>
      </w:r>
    </w:p>
    <w:p w:rsidR="00AB7773" w:rsidRDefault="00AB7773">
      <w:pPr>
        <w:numPr>
          <w:ilvl w:val="0"/>
          <w:numId w:val="7"/>
        </w:numPr>
        <w:spacing w:before="100" w:beforeAutospacing="1" w:after="100" w:afterAutospacing="1"/>
        <w:textAlignment w:val="baseline"/>
        <w:divId w:val="2099060955"/>
        <w:rPr>
          <w:rFonts w:ascii="Arial" w:hAnsi="Arial" w:cs="Arial"/>
          <w:color w:val="000000"/>
          <w:sz w:val="23"/>
          <w:szCs w:val="23"/>
        </w:rPr>
      </w:pPr>
      <w:r>
        <w:rPr>
          <w:rFonts w:ascii="Verdana" w:hAnsi="Verdana" w:cs="Arial"/>
          <w:color w:val="555555"/>
          <w:sz w:val="17"/>
          <w:szCs w:val="17"/>
        </w:rPr>
        <w:t>Grades in specified courses and test scores</w:t>
      </w:r>
    </w:p>
    <w:p w:rsidR="00AB7773" w:rsidRDefault="00AB7773">
      <w:pPr>
        <w:numPr>
          <w:ilvl w:val="0"/>
          <w:numId w:val="7"/>
        </w:numPr>
        <w:spacing w:before="100" w:beforeAutospacing="1" w:after="100" w:afterAutospacing="1"/>
        <w:textAlignment w:val="baseline"/>
        <w:divId w:val="2099060955"/>
        <w:rPr>
          <w:rFonts w:ascii="Arial" w:hAnsi="Arial" w:cs="Arial"/>
          <w:color w:val="000000"/>
          <w:sz w:val="23"/>
          <w:szCs w:val="23"/>
        </w:rPr>
      </w:pPr>
      <w:r>
        <w:rPr>
          <w:rFonts w:ascii="Verdana" w:hAnsi="Verdana" w:cs="Arial"/>
          <w:color w:val="555555"/>
          <w:sz w:val="17"/>
          <w:szCs w:val="17"/>
        </w:rPr>
        <w:t>Graduation from high school</w:t>
      </w:r>
    </w:p>
    <w:p w:rsidR="00AB7773" w:rsidRDefault="00AB7773">
      <w:pPr>
        <w:divId w:val="2099060955"/>
        <w:rPr>
          <w:color w:val="555555"/>
        </w:rPr>
      </w:pPr>
      <w:r>
        <w:rPr>
          <w:color w:val="555555"/>
        </w:rPr>
        <w:br/>
      </w:r>
      <w:r>
        <w:rPr>
          <w:rFonts w:ascii="Verdana" w:hAnsi="Verdana"/>
          <w:color w:val="555555"/>
          <w:sz w:val="17"/>
          <w:szCs w:val="17"/>
        </w:rPr>
        <w:t xml:space="preserve">Some campuses have higher standards for particular majors or students who live outside the local campus area. Because of the number of students who apply, a few campuses have higher standards (supplementary admission criteria) for all applicants. Most CSU campuses have local admission guarantee policies for students who graduate or transfer from high schools and colleges that are historically served by a CSU campus in that region. For admission, application, and fee information see the </w:t>
      </w:r>
      <w:r>
        <w:rPr>
          <w:rFonts w:ascii="Verdana" w:hAnsi="Verdana"/>
          <w:i/>
          <w:iCs/>
          <w:color w:val="555555"/>
          <w:sz w:val="17"/>
          <w:szCs w:val="17"/>
        </w:rPr>
        <w:t>CSU</w:t>
      </w:r>
      <w:r>
        <w:rPr>
          <w:rFonts w:ascii="Verdana" w:hAnsi="Verdana"/>
          <w:color w:val="555555"/>
          <w:sz w:val="17"/>
          <w:szCs w:val="17"/>
        </w:rPr>
        <w:t xml:space="preserve"> </w:t>
      </w:r>
      <w:r>
        <w:rPr>
          <w:rFonts w:ascii="Verdana" w:hAnsi="Verdana"/>
          <w:i/>
          <w:iCs/>
          <w:color w:val="555555"/>
          <w:sz w:val="17"/>
          <w:szCs w:val="17"/>
        </w:rPr>
        <w:t>Web page at</w:t>
      </w:r>
      <w:hyperlink r:id="rId19"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http://www.calstate.edu/admission/admission.shtml</w:t>
        </w:r>
      </w:hyperlink>
      <w:r>
        <w:rPr>
          <w:rFonts w:ascii="Verdana" w:hAnsi="Verdana"/>
          <w:color w:val="555555"/>
          <w:sz w:val="17"/>
          <w:szCs w:val="17"/>
        </w:rPr>
        <w:t>. (Outside source)</w:t>
      </w:r>
    </w:p>
    <w:p w:rsidR="00AB7773" w:rsidRDefault="00AB7773">
      <w:pPr>
        <w:pStyle w:val="Heading4"/>
        <w:divId w:val="2099060955"/>
      </w:pPr>
      <w:r>
        <w:rPr>
          <w:color w:val="000000"/>
          <w:sz w:val="23"/>
          <w:szCs w:val="23"/>
        </w:rPr>
        <w:t>Dropout Rate and Graduation Rate</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73"/>
        <w:gridCol w:w="989"/>
        <w:gridCol w:w="989"/>
        <w:gridCol w:w="989"/>
        <w:gridCol w:w="990"/>
        <w:gridCol w:w="990"/>
        <w:gridCol w:w="990"/>
        <w:gridCol w:w="990"/>
        <w:gridCol w:w="990"/>
        <w:gridCol w:w="990"/>
      </w:tblGrid>
      <w:tr w:rsidR="00AB7773">
        <w:trPr>
          <w:divId w:val="209906095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rPr>
                <w:sz w:val="2"/>
              </w:rPr>
            </w:pPr>
            <w:r w:rsidRPr="00216093">
              <w:rPr>
                <w:rFonts w:ascii="Verdana" w:hAnsi="Verdana"/>
                <w:b/>
                <w:bCs/>
                <w:color w:val="FFFFFF"/>
                <w:sz w:val="18"/>
                <w:szCs w:val="18"/>
                <w:shd w:val="clear" w:color="auto" w:fill="1A4678"/>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rPr>
                <w:sz w:val="2"/>
              </w:rPr>
            </w:pPr>
            <w:r w:rsidRPr="00216093">
              <w:rPr>
                <w:rFonts w:ascii="Verdana" w:hAnsi="Verdana"/>
                <w:b/>
                <w:bCs/>
                <w:color w:val="FFFFFF"/>
                <w:sz w:val="18"/>
                <w:szCs w:val="18"/>
                <w:shd w:val="clear" w:color="auto" w:fill="1A4678"/>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rPr>
                <w:sz w:val="2"/>
              </w:rPr>
            </w:pPr>
            <w:r w:rsidRPr="00216093">
              <w:rPr>
                <w:rFonts w:ascii="Verdana" w:hAnsi="Verdana"/>
                <w:b/>
                <w:bCs/>
                <w:color w:val="FFFFFF"/>
                <w:sz w:val="18"/>
                <w:szCs w:val="18"/>
                <w:shd w:val="clear" w:color="auto" w:fill="1A4678"/>
              </w:rPr>
              <w:t>State</w:t>
            </w:r>
          </w:p>
        </w:tc>
      </w:tr>
      <w:tr w:rsidR="00AB7773">
        <w:trPr>
          <w:divId w:val="20990609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AB7773" w:rsidRDefault="00AB7773"/>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Dropout Rate (1-year)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80.44</w:t>
            </w:r>
          </w:p>
        </w:tc>
      </w:tr>
    </w:tbl>
    <w:p w:rsidR="00AB7773" w:rsidRDefault="00AB7773">
      <w:pPr>
        <w:divId w:val="2099060955"/>
        <w:rPr>
          <w:color w:val="555555"/>
        </w:rPr>
      </w:pPr>
      <w:r>
        <w:rPr>
          <w:color w:val="555555"/>
        </w:rPr>
        <w:br/>
      </w:r>
      <w:r>
        <w:rPr>
          <w:rFonts w:ascii="Verdana" w:hAnsi="Verdana"/>
          <w:color w:val="555555"/>
          <w:sz w:val="17"/>
          <w:szCs w:val="17"/>
        </w:rPr>
        <w:t>Note: The National Center for Education Statistics graduation rate as reported in AYP is provided in this table.</w:t>
      </w:r>
    </w:p>
    <w:p w:rsidR="00AB7773" w:rsidRDefault="00AB7773">
      <w:pPr>
        <w:pStyle w:val="Heading4"/>
        <w:divId w:val="2099060955"/>
      </w:pPr>
      <w:r>
        <w:rPr>
          <w:color w:val="000000"/>
          <w:sz w:val="23"/>
          <w:szCs w:val="23"/>
        </w:rPr>
        <w:t>Completion of High School Graduation Requirements</w:t>
      </w:r>
    </w:p>
    <w:p w:rsidR="00AB7773" w:rsidRDefault="00AB7773">
      <w:pPr>
        <w:divId w:val="2099060955"/>
        <w:rPr>
          <w:color w:val="555555"/>
        </w:rPr>
      </w:pPr>
      <w:r>
        <w:rPr>
          <w:rFonts w:ascii="Verdana" w:hAnsi="Verdana"/>
          <w:color w:val="555555"/>
          <w:sz w:val="17"/>
          <w:szCs w:val="17"/>
        </w:rPr>
        <w:t>This table displays, by student group, the percent of students who began the 2010–11 school year in grade twelve and were a part of the school’s most recent graduating class, meeting all state and local graduation requirements for grade twelve completion, including having passed both the ELA and mathematics portions of the CAHSEE or received a local waiver or state exemption.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56"/>
        <w:gridCol w:w="925"/>
        <w:gridCol w:w="996"/>
        <w:gridCol w:w="780"/>
      </w:tblGrid>
      <w:tr w:rsidR="00AB7773">
        <w:trPr>
          <w:divId w:val="209906095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rPr>
                <w:sz w:val="2"/>
              </w:rPr>
            </w:pPr>
            <w:r w:rsidRPr="00216093">
              <w:rPr>
                <w:rFonts w:ascii="Verdana" w:hAnsi="Verdana"/>
                <w:b/>
                <w:bCs/>
                <w:color w:val="FFFFFF"/>
                <w:sz w:val="18"/>
                <w:szCs w:val="18"/>
                <w:shd w:val="clear" w:color="auto" w:fill="1A4678"/>
              </w:rPr>
              <w:t>Graduating Class of 2011</w:t>
            </w:r>
          </w:p>
        </w:tc>
      </w:tr>
      <w:tr w:rsidR="00AB7773">
        <w:trPr>
          <w:divId w:val="20990609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AB7773" w:rsidRDefault="00AB7773"/>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District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bl>
    <w:p w:rsidR="00AB7773" w:rsidRDefault="00AB7773">
      <w:pPr>
        <w:divId w:val="2099060955"/>
        <w:rPr>
          <w:color w:val="555555"/>
        </w:rPr>
      </w:pPr>
      <w:r>
        <w:rPr>
          <w:color w:val="555555"/>
        </w:rPr>
        <w:br/>
      </w:r>
      <w:r>
        <w:rPr>
          <w:rFonts w:ascii="Verdana" w:hAnsi="Verdana"/>
          <w:color w:val="555555"/>
          <w:sz w:val="17"/>
          <w:szCs w:val="17"/>
        </w:rPr>
        <w:t>Note: “N/D” means that no data were available to the CDE or LEA to report.</w:t>
      </w:r>
    </w:p>
    <w:p w:rsidR="00AB7773" w:rsidRDefault="00AB7773">
      <w:pPr>
        <w:pStyle w:val="Heading4"/>
        <w:divId w:val="2099060955"/>
      </w:pPr>
      <w:r>
        <w:rPr>
          <w:color w:val="000000"/>
          <w:sz w:val="23"/>
          <w:szCs w:val="23"/>
        </w:rPr>
        <w:lastRenderedPageBreak/>
        <w:t>Career Technical Education Participation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28"/>
        <w:gridCol w:w="2522"/>
      </w:tblGrid>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CTE Program Participation</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pupils participating in CTE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pupils completing a CTE program and earning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CTE courses sequenced or articulated between the school and institutions of postsecondary education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bl>
    <w:p w:rsidR="00AB7773" w:rsidRDefault="00AB7773">
      <w:pPr>
        <w:divId w:val="2099060955"/>
        <w:rPr>
          <w:color w:val="555555"/>
        </w:rPr>
      </w:pPr>
    </w:p>
    <w:p w:rsidR="00AB7773" w:rsidRDefault="00AB7773">
      <w:pPr>
        <w:pStyle w:val="Heading4"/>
        <w:divId w:val="2099060955"/>
      </w:pPr>
      <w:r>
        <w:rPr>
          <w:color w:val="000000"/>
          <w:sz w:val="23"/>
          <w:szCs w:val="23"/>
        </w:rPr>
        <w:t>Courses for University of California and/or California State University Admission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37"/>
        <w:gridCol w:w="1007"/>
      </w:tblGrid>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UC/CSU Course 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2010-11 Students Enrolled in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5.7%</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2009-10 Graduates Who Completed All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spacing w:line="0" w:lineRule="atLeast"/>
            </w:pPr>
            <w:r w:rsidRPr="00216093">
              <w:rPr>
                <w:rFonts w:ascii="Verdana" w:hAnsi="Verdana"/>
                <w:color w:val="666699"/>
                <w:sz w:val="17"/>
                <w:szCs w:val="17"/>
              </w:rPr>
              <w:t>0.0%</w:t>
            </w:r>
          </w:p>
        </w:tc>
      </w:tr>
    </w:tbl>
    <w:p w:rsidR="00AB7773" w:rsidRDefault="00AB7773">
      <w:pPr>
        <w:divId w:val="2099060955"/>
        <w:rPr>
          <w:color w:val="555555"/>
        </w:rPr>
      </w:pPr>
    </w:p>
    <w:p w:rsidR="00AB7773" w:rsidRDefault="00AB7773">
      <w:pPr>
        <w:pStyle w:val="Heading4"/>
        <w:divId w:val="2099060955"/>
      </w:pPr>
      <w:r>
        <w:rPr>
          <w:color w:val="000000"/>
          <w:sz w:val="23"/>
          <w:szCs w:val="23"/>
        </w:rPr>
        <w:t>Advanced Placement Courses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89"/>
        <w:gridCol w:w="3446"/>
        <w:gridCol w:w="3718"/>
      </w:tblGrid>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AP Courses Offered*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AB7773" w:rsidRDefault="00AB777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Students In AP Courses</w:t>
            </w: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Computer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Fine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AB7773" w:rsidRDefault="00AB7773">
            <w:pPr>
              <w:rPr>
                <w:sz w:val="20"/>
                <w:szCs w:val="20"/>
              </w:rPr>
            </w:pPr>
          </w:p>
        </w:tc>
      </w:tr>
      <w:tr w:rsidR="00AB7773">
        <w:trPr>
          <w:divId w:val="209906095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courses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AB7773" w:rsidRDefault="00AB7773">
            <w:pPr>
              <w:rPr>
                <w:sz w:val="20"/>
                <w:szCs w:val="20"/>
              </w:rPr>
            </w:pPr>
          </w:p>
        </w:tc>
      </w:tr>
    </w:tbl>
    <w:p w:rsidR="00AB7773" w:rsidRDefault="00AB7773">
      <w:pPr>
        <w:divId w:val="2099060955"/>
        <w:rPr>
          <w:color w:val="555555"/>
        </w:rPr>
      </w:pPr>
      <w:r>
        <w:rPr>
          <w:color w:val="555555"/>
        </w:rPr>
        <w:br/>
      </w:r>
      <w:r>
        <w:rPr>
          <w:rFonts w:ascii="Verdana" w:hAnsi="Verdana"/>
          <w:color w:val="555555"/>
          <w:sz w:val="17"/>
          <w:szCs w:val="17"/>
        </w:rPr>
        <w:t>Note: Cells shaded in black do not require data. *Where there are student course enrollments.</w:t>
      </w:r>
    </w:p>
    <w:p w:rsidR="00EF291B" w:rsidRDefault="00EF291B">
      <w:pPr>
        <w:pStyle w:val="Heading2"/>
        <w:divId w:val="2099060955"/>
        <w:rPr>
          <w:color w:val="000000"/>
          <w:sz w:val="32"/>
          <w:szCs w:val="32"/>
        </w:rPr>
      </w:pPr>
    </w:p>
    <w:p w:rsidR="00EF291B" w:rsidRDefault="00EF291B">
      <w:pPr>
        <w:pStyle w:val="Heading2"/>
        <w:divId w:val="2099060955"/>
        <w:rPr>
          <w:color w:val="000000"/>
          <w:sz w:val="32"/>
          <w:szCs w:val="32"/>
        </w:rPr>
      </w:pPr>
    </w:p>
    <w:p w:rsidR="00EF291B" w:rsidRDefault="00EF291B">
      <w:pPr>
        <w:pStyle w:val="Heading2"/>
        <w:divId w:val="2099060955"/>
        <w:rPr>
          <w:color w:val="000000"/>
          <w:sz w:val="32"/>
          <w:szCs w:val="32"/>
        </w:rPr>
      </w:pPr>
    </w:p>
    <w:p w:rsidR="00EF291B" w:rsidRDefault="00EF291B">
      <w:pPr>
        <w:pStyle w:val="Heading2"/>
        <w:divId w:val="2099060955"/>
        <w:rPr>
          <w:color w:val="000000"/>
          <w:sz w:val="32"/>
          <w:szCs w:val="32"/>
        </w:rPr>
      </w:pPr>
    </w:p>
    <w:p w:rsidR="00EF291B" w:rsidRDefault="00EF291B">
      <w:pPr>
        <w:pStyle w:val="Heading2"/>
        <w:divId w:val="2099060955"/>
        <w:rPr>
          <w:color w:val="000000"/>
          <w:sz w:val="32"/>
          <w:szCs w:val="32"/>
        </w:rPr>
      </w:pPr>
    </w:p>
    <w:p w:rsidR="00EF291B" w:rsidRDefault="00EF291B">
      <w:pPr>
        <w:pStyle w:val="Heading2"/>
        <w:divId w:val="2099060955"/>
        <w:rPr>
          <w:color w:val="000000"/>
          <w:sz w:val="32"/>
          <w:szCs w:val="32"/>
        </w:rPr>
      </w:pPr>
    </w:p>
    <w:p w:rsidR="00EF291B" w:rsidRDefault="00EF291B">
      <w:pPr>
        <w:pStyle w:val="Heading2"/>
        <w:divId w:val="2099060955"/>
        <w:rPr>
          <w:color w:val="000000"/>
          <w:sz w:val="32"/>
          <w:szCs w:val="32"/>
        </w:rPr>
      </w:pPr>
    </w:p>
    <w:p w:rsidR="00EF291B" w:rsidRDefault="00EF291B">
      <w:pPr>
        <w:pStyle w:val="Heading2"/>
        <w:divId w:val="2099060955"/>
        <w:rPr>
          <w:color w:val="000000"/>
          <w:sz w:val="32"/>
          <w:szCs w:val="32"/>
        </w:rPr>
      </w:pPr>
    </w:p>
    <w:p w:rsidR="00EF291B" w:rsidRDefault="00EF291B">
      <w:pPr>
        <w:pStyle w:val="Heading2"/>
        <w:divId w:val="2099060955"/>
        <w:rPr>
          <w:color w:val="000000"/>
          <w:sz w:val="32"/>
          <w:szCs w:val="32"/>
        </w:rPr>
      </w:pPr>
    </w:p>
    <w:p w:rsidR="00EF291B" w:rsidRDefault="00EF291B">
      <w:pPr>
        <w:pStyle w:val="Heading2"/>
        <w:divId w:val="2099060955"/>
        <w:rPr>
          <w:color w:val="000000"/>
          <w:sz w:val="32"/>
          <w:szCs w:val="32"/>
        </w:rPr>
      </w:pPr>
    </w:p>
    <w:p w:rsidR="00EF291B" w:rsidRDefault="00EF291B">
      <w:pPr>
        <w:pStyle w:val="Heading2"/>
        <w:divId w:val="2099060955"/>
        <w:rPr>
          <w:color w:val="000000"/>
          <w:sz w:val="32"/>
          <w:szCs w:val="32"/>
        </w:rPr>
      </w:pPr>
    </w:p>
    <w:p w:rsidR="00EF291B" w:rsidRDefault="00EF291B">
      <w:pPr>
        <w:pStyle w:val="Heading2"/>
        <w:divId w:val="2099060955"/>
        <w:rPr>
          <w:color w:val="000000"/>
          <w:sz w:val="32"/>
          <w:szCs w:val="32"/>
        </w:rPr>
      </w:pPr>
    </w:p>
    <w:p w:rsidR="00EF291B" w:rsidRDefault="00EF291B">
      <w:pPr>
        <w:pStyle w:val="Heading2"/>
        <w:divId w:val="2099060955"/>
        <w:rPr>
          <w:color w:val="000000"/>
          <w:sz w:val="32"/>
          <w:szCs w:val="32"/>
        </w:rPr>
      </w:pPr>
    </w:p>
    <w:p w:rsidR="00AB7773" w:rsidRDefault="00AB7773">
      <w:pPr>
        <w:pStyle w:val="Heading2"/>
        <w:divId w:val="2099060955"/>
      </w:pPr>
      <w:r>
        <w:rPr>
          <w:color w:val="000000"/>
          <w:sz w:val="32"/>
          <w:szCs w:val="32"/>
        </w:rPr>
        <w:lastRenderedPageBreak/>
        <w:t>XII. Instructional Planning and Scheduling</w:t>
      </w:r>
    </w:p>
    <w:p w:rsidR="00AB7773" w:rsidRDefault="00AB7773">
      <w:pPr>
        <w:pStyle w:val="Heading4"/>
        <w:divId w:val="2099060955"/>
      </w:pPr>
      <w:r>
        <w:rPr>
          <w:color w:val="000000"/>
          <w:sz w:val="23"/>
          <w:szCs w:val="23"/>
        </w:rPr>
        <w:t>Professional Development</w:t>
      </w:r>
    </w:p>
    <w:p w:rsidR="00AB7773" w:rsidRDefault="00AB7773">
      <w:pPr>
        <w:divId w:val="2099060955"/>
        <w:rPr>
          <w:color w:val="555555"/>
        </w:rPr>
      </w:pPr>
      <w:r>
        <w:rPr>
          <w:rFonts w:ascii="Verdana" w:hAnsi="Verdana"/>
          <w:color w:val="555555"/>
          <w:sz w:val="17"/>
          <w:szCs w:val="17"/>
        </w:rPr>
        <w:t>This section provides information on the annual number of school days dedicated to staff development for the most recent three-year period.</w:t>
      </w:r>
    </w:p>
    <w:tbl>
      <w:tblPr>
        <w:tblW w:w="0" w:type="auto"/>
        <w:tblLook w:val="04A0"/>
      </w:tblPr>
      <w:tblGrid>
        <w:gridCol w:w="10950"/>
      </w:tblGrid>
      <w:tr w:rsidR="00AB7773">
        <w:trPr>
          <w:divId w:val="2099060955"/>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tcPr>
          <w:p w:rsidR="00AB7773" w:rsidRDefault="00AB7773">
            <w:pPr>
              <w:rPr>
                <w:rFonts w:ascii="Arial" w:hAnsi="Arial" w:cs="Arial"/>
                <w:color w:val="000000"/>
                <w:sz w:val="20"/>
                <w:szCs w:val="20"/>
              </w:rPr>
            </w:pPr>
            <w:r w:rsidRPr="00216093">
              <w:rPr>
                <w:rFonts w:ascii="Arial" w:hAnsi="Arial" w:cs="Arial"/>
                <w:sz w:val="20"/>
                <w:szCs w:val="20"/>
              </w:rPr>
              <w:t xml:space="preserve">Every school in the Alhambra Unified School District has always been and continues to be committed to improvement in student learning.  Teachers are actively participating in standards-based professional development, assessment and strategies to help all students meet state standards.  </w:t>
            </w:r>
            <w:r w:rsidRPr="00216093">
              <w:rPr>
                <w:rFonts w:ascii="Arial" w:hAnsi="Arial" w:cs="Arial"/>
                <w:color w:val="000000"/>
                <w:sz w:val="20"/>
                <w:szCs w:val="20"/>
              </w:rPr>
              <w:t xml:space="preserve">Alhambra Unified School District offers staff development opportunities to teachers, administrators, and instructional aides.  Staff members build teaching skills and concepts through participation in conferences, workshops and collaboration meetings throughout the year.  </w:t>
            </w:r>
          </w:p>
          <w:p w:rsidR="00AB7773" w:rsidRPr="00216093" w:rsidRDefault="00AB7773">
            <w:pPr>
              <w:rPr>
                <w:rFonts w:ascii="Arial" w:hAnsi="Arial" w:cs="Arial"/>
                <w:color w:val="000000"/>
                <w:sz w:val="20"/>
                <w:szCs w:val="20"/>
              </w:rPr>
            </w:pPr>
          </w:p>
          <w:p w:rsidR="00AB7773" w:rsidRPr="00216093" w:rsidRDefault="00AB7773">
            <w:pPr>
              <w:rPr>
                <w:rFonts w:ascii="Arial" w:hAnsi="Arial" w:cs="Arial"/>
                <w:color w:val="000000"/>
                <w:sz w:val="20"/>
                <w:szCs w:val="20"/>
              </w:rPr>
            </w:pPr>
            <w:r w:rsidRPr="00216093">
              <w:rPr>
                <w:rFonts w:ascii="Arial" w:hAnsi="Arial" w:cs="Arial"/>
                <w:color w:val="000000"/>
                <w:sz w:val="20"/>
                <w:szCs w:val="20"/>
              </w:rPr>
              <w:t xml:space="preserve">The District offers three staff development days where teachers participated in a broad-based variety of professional growth sessions in standards-based curriculum and instructional strategies.  The District’s Professional Development Committee, consisting of administrators and teachers, meets to plan and develop the staff development for the District.  Using student achievement data and results from surveys, the Committee identifies training opportunities that are aligned with the goals of the District and that will improve the learning of all students.  </w:t>
            </w:r>
          </w:p>
          <w:p w:rsidR="00AB7773" w:rsidRPr="00216093" w:rsidRDefault="00AB7773">
            <w:pPr>
              <w:rPr>
                <w:rFonts w:ascii="Arial" w:hAnsi="Arial" w:cs="Arial"/>
                <w:color w:val="000000"/>
                <w:sz w:val="20"/>
                <w:szCs w:val="20"/>
              </w:rPr>
            </w:pPr>
          </w:p>
          <w:p w:rsidR="00AB7773" w:rsidRPr="00216093" w:rsidRDefault="00AB7773">
            <w:pPr>
              <w:rPr>
                <w:rFonts w:ascii="Arial" w:hAnsi="Arial" w:cs="Arial"/>
                <w:sz w:val="20"/>
                <w:szCs w:val="20"/>
              </w:rPr>
            </w:pPr>
            <w:r w:rsidRPr="00216093">
              <w:rPr>
                <w:rFonts w:ascii="Arial" w:hAnsi="Arial" w:cs="Arial"/>
                <w:color w:val="000000"/>
                <w:sz w:val="20"/>
                <w:szCs w:val="20"/>
              </w:rPr>
              <w:t>Throughout the school year, professional development on district initiatives is provided to teachers through the use of substitutes.  This includes:  Thinking Maps, GATE Level II &amp; III training, technology, problem solving.</w:t>
            </w:r>
          </w:p>
          <w:p w:rsidR="00AB7773" w:rsidRPr="00216093" w:rsidRDefault="00AB7773">
            <w:pPr>
              <w:rPr>
                <w:rFonts w:ascii="Arial" w:hAnsi="Arial" w:cs="Arial"/>
                <w:color w:val="000000"/>
                <w:sz w:val="20"/>
                <w:szCs w:val="20"/>
              </w:rPr>
            </w:pPr>
          </w:p>
          <w:p w:rsidR="00AB7773" w:rsidRPr="00216093" w:rsidRDefault="00AB7773">
            <w:pPr>
              <w:rPr>
                <w:rFonts w:ascii="Arial" w:hAnsi="Arial" w:cs="Arial"/>
                <w:color w:val="000000"/>
                <w:sz w:val="20"/>
                <w:szCs w:val="20"/>
              </w:rPr>
            </w:pPr>
            <w:r w:rsidRPr="00216093">
              <w:rPr>
                <w:rFonts w:ascii="Arial" w:hAnsi="Arial" w:cs="Arial"/>
                <w:color w:val="000000"/>
                <w:sz w:val="20"/>
                <w:szCs w:val="20"/>
              </w:rPr>
              <w:t>The Alhambra Unified School District offers several programs to support new and veteran teachers in their classroom skills and to ensure continued professional development.  Beginning Teacher Support and Assessment (BTSA) Induction provides new teachers with assistance and support over a two-year period.  The District’s Peer Assistance and Review (PAR) program is designed to assist both veteran and new teachers by providing in-class support.</w:t>
            </w:r>
          </w:p>
          <w:p w:rsidR="00AB7773" w:rsidRDefault="00AB7773">
            <w:pPr>
              <w:rPr>
                <w:rFonts w:ascii="Arial" w:hAnsi="Arial" w:cs="Arial"/>
                <w:color w:val="000000"/>
                <w:sz w:val="20"/>
                <w:szCs w:val="20"/>
              </w:rPr>
            </w:pPr>
          </w:p>
        </w:tc>
      </w:tr>
    </w:tbl>
    <w:p w:rsidR="00AB7773" w:rsidRDefault="00AB7773">
      <w:pPr>
        <w:divId w:val="2099060955"/>
        <w:rPr>
          <w:color w:val="555555"/>
          <w:szCs w:val="16"/>
        </w:rPr>
      </w:pPr>
    </w:p>
    <w:sectPr w:rsidR="00AB7773">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047FBA"/>
    <w:multiLevelType w:val="multilevel"/>
    <w:tmpl w:val="B9F22D6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195759BF"/>
    <w:multiLevelType w:val="multilevel"/>
    <w:tmpl w:val="693803A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3374158A"/>
    <w:multiLevelType w:val="hybridMultilevel"/>
    <w:tmpl w:val="382EA478"/>
    <w:lvl w:ilvl="0" w:tplc="00010409">
      <w:start w:val="1"/>
      <w:numFmt w:val="bullet"/>
      <w:lvlText w:val=""/>
      <w:lvlJc w:val="left"/>
      <w:pPr>
        <w:tabs>
          <w:tab w:val="num" w:pos="720"/>
        </w:tabs>
        <w:ind w:left="720" w:hanging="360"/>
      </w:pPr>
      <w:rPr>
        <w:rFonts w:ascii="Symbol" w:hAnsi="Symbol" w:hint="default"/>
      </w:rPr>
    </w:lvl>
    <w:lvl w:ilvl="1" w:tplc="00030409">
      <w:start w:val="1"/>
      <w:numFmt w:val="decimal"/>
      <w:lvlText w:val="%2."/>
      <w:lvlJc w:val="left"/>
      <w:pPr>
        <w:tabs>
          <w:tab w:val="num" w:pos="1440"/>
        </w:tabs>
        <w:ind w:left="1440" w:hanging="360"/>
      </w:pPr>
    </w:lvl>
    <w:lvl w:ilvl="2" w:tplc="00050409">
      <w:start w:val="1"/>
      <w:numFmt w:val="decimal"/>
      <w:lvlText w:val="%3."/>
      <w:lvlJc w:val="left"/>
      <w:pPr>
        <w:tabs>
          <w:tab w:val="num" w:pos="2160"/>
        </w:tabs>
        <w:ind w:left="2160" w:hanging="360"/>
      </w:pPr>
    </w:lvl>
    <w:lvl w:ilvl="3" w:tplc="00010409">
      <w:start w:val="1"/>
      <w:numFmt w:val="decimal"/>
      <w:lvlText w:val="%4."/>
      <w:lvlJc w:val="left"/>
      <w:pPr>
        <w:tabs>
          <w:tab w:val="num" w:pos="2880"/>
        </w:tabs>
        <w:ind w:left="2880" w:hanging="360"/>
      </w:pPr>
    </w:lvl>
    <w:lvl w:ilvl="4" w:tplc="00030409">
      <w:start w:val="1"/>
      <w:numFmt w:val="decimal"/>
      <w:lvlText w:val="%5."/>
      <w:lvlJc w:val="left"/>
      <w:pPr>
        <w:tabs>
          <w:tab w:val="num" w:pos="3600"/>
        </w:tabs>
        <w:ind w:left="3600" w:hanging="360"/>
      </w:pPr>
    </w:lvl>
    <w:lvl w:ilvl="5" w:tplc="00050409">
      <w:start w:val="1"/>
      <w:numFmt w:val="decimal"/>
      <w:lvlText w:val="%6."/>
      <w:lvlJc w:val="left"/>
      <w:pPr>
        <w:tabs>
          <w:tab w:val="num" w:pos="4320"/>
        </w:tabs>
        <w:ind w:left="4320" w:hanging="360"/>
      </w:pPr>
    </w:lvl>
    <w:lvl w:ilvl="6" w:tplc="00010409">
      <w:start w:val="1"/>
      <w:numFmt w:val="decimal"/>
      <w:lvlText w:val="%7."/>
      <w:lvlJc w:val="left"/>
      <w:pPr>
        <w:tabs>
          <w:tab w:val="num" w:pos="5040"/>
        </w:tabs>
        <w:ind w:left="5040" w:hanging="360"/>
      </w:pPr>
    </w:lvl>
    <w:lvl w:ilvl="7" w:tplc="00030409">
      <w:start w:val="1"/>
      <w:numFmt w:val="decimal"/>
      <w:lvlText w:val="%8."/>
      <w:lvlJc w:val="left"/>
      <w:pPr>
        <w:tabs>
          <w:tab w:val="num" w:pos="5760"/>
        </w:tabs>
        <w:ind w:left="5760" w:hanging="360"/>
      </w:pPr>
    </w:lvl>
    <w:lvl w:ilvl="8" w:tplc="00050409">
      <w:start w:val="1"/>
      <w:numFmt w:val="decimal"/>
      <w:lvlText w:val="%9."/>
      <w:lvlJc w:val="left"/>
      <w:pPr>
        <w:tabs>
          <w:tab w:val="num" w:pos="6480"/>
        </w:tabs>
        <w:ind w:left="6480" w:hanging="360"/>
      </w:pPr>
    </w:lvl>
  </w:abstractNum>
  <w:abstractNum w:abstractNumId="3">
    <w:nsid w:val="40C3398B"/>
    <w:multiLevelType w:val="multilevel"/>
    <w:tmpl w:val="82F465C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429E6235"/>
    <w:multiLevelType w:val="multilevel"/>
    <w:tmpl w:val="A5AEB84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6BAB48CA"/>
    <w:multiLevelType w:val="multilevel"/>
    <w:tmpl w:val="798417F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7D811FF6"/>
    <w:multiLevelType w:val="multilevel"/>
    <w:tmpl w:val="BDF611A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defaultTabStop w:val="720"/>
  <w:drawingGridHorizontalSpacing w:val="120"/>
  <w:displayHorizontalDrawingGridEvery w:val="2"/>
  <w:noPunctuationKerning/>
  <w:characterSpacingControl w:val="doNotCompress"/>
  <w:compat/>
  <w:rsids>
    <w:rsidRoot w:val="00EF291B"/>
    <w:rsid w:val="00166481"/>
    <w:rsid w:val="00216093"/>
    <w:rsid w:val="00AB7773"/>
    <w:rsid w:val="00EF291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link w:val="Heading1Char"/>
    <w:uiPriority w:val="9"/>
    <w:qFormat/>
    <w:pPr>
      <w:spacing w:line="240" w:lineRule="atLeast"/>
      <w:outlineLvl w:val="0"/>
    </w:pPr>
    <w:rPr>
      <w:rFonts w:ascii="Arial" w:hAnsi="Arial" w:cs="Arial"/>
      <w:b/>
      <w:bCs/>
      <w:color w:val="1A4678"/>
      <w:kern w:val="36"/>
      <w:sz w:val="72"/>
      <w:szCs w:val="72"/>
    </w:rPr>
  </w:style>
  <w:style w:type="paragraph" w:styleId="Heading2">
    <w:name w:val="heading 2"/>
    <w:basedOn w:val="Normal"/>
    <w:link w:val="Heading2Char"/>
    <w:uiPriority w:val="9"/>
    <w:qFormat/>
    <w:pPr>
      <w:spacing w:line="240" w:lineRule="atLeast"/>
      <w:outlineLvl w:val="1"/>
    </w:pPr>
    <w:rPr>
      <w:rFonts w:ascii="Arial" w:hAnsi="Arial" w:cs="Arial"/>
      <w:b/>
      <w:bCs/>
      <w:color w:val="1A4678"/>
      <w:sz w:val="48"/>
      <w:szCs w:val="48"/>
    </w:rPr>
  </w:style>
  <w:style w:type="paragraph" w:styleId="Heading3">
    <w:name w:val="heading 3"/>
    <w:basedOn w:val="Normal"/>
    <w:link w:val="Heading3Char"/>
    <w:uiPriority w:val="9"/>
    <w:qFormat/>
    <w:pPr>
      <w:spacing w:before="300" w:after="150" w:line="264" w:lineRule="atLeast"/>
      <w:outlineLvl w:val="2"/>
    </w:pPr>
    <w:rPr>
      <w:rFonts w:ascii="Arial" w:hAnsi="Arial" w:cs="Arial"/>
      <w:b/>
      <w:bCs/>
      <w:color w:val="1A4678"/>
      <w:sz w:val="43"/>
      <w:szCs w:val="43"/>
    </w:rPr>
  </w:style>
  <w:style w:type="paragraph" w:styleId="Heading4">
    <w:name w:val="heading 4"/>
    <w:basedOn w:val="Normal"/>
    <w:link w:val="Heading4Char"/>
    <w:uiPriority w:val="9"/>
    <w:qFormat/>
    <w:pPr>
      <w:spacing w:before="225" w:after="150" w:line="336" w:lineRule="atLeast"/>
      <w:outlineLvl w:val="3"/>
    </w:pPr>
    <w:rPr>
      <w:rFonts w:ascii="Arial" w:hAnsi="Arial" w:cs="Arial"/>
      <w:b/>
      <w:bCs/>
      <w:color w:val="6E6E6E"/>
      <w:sz w:val="31"/>
      <w:szCs w:val="31"/>
    </w:rPr>
  </w:style>
  <w:style w:type="paragraph" w:styleId="Heading5">
    <w:name w:val="heading 5"/>
    <w:basedOn w:val="Normal"/>
    <w:link w:val="Heading5Char"/>
    <w:uiPriority w:val="9"/>
    <w:qFormat/>
    <w:pPr>
      <w:spacing w:before="100" w:beforeAutospacing="1" w:after="100" w:afterAutospacing="1" w:line="336" w:lineRule="atLeast"/>
      <w:outlineLvl w:val="4"/>
    </w:pPr>
    <w:rPr>
      <w:rFonts w:ascii="Arial" w:hAnsi="Arial" w:cs="Arial"/>
      <w:i/>
      <w:iCs/>
      <w:color w:val="6E6E6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1Char">
    <w:name w:val="Heading 1 Char"/>
    <w:basedOn w:val="DefaultParagraphFont"/>
    <w:link w:val="Heading1"/>
    <w:uiPriority w:val="9"/>
    <w:locked/>
    <w:rPr>
      <w:rFonts w:ascii="Cambria" w:eastAsia="Times New Roman" w:hAnsi="Cambria" w:cs="Times New Roman" w:hint="default"/>
      <w:b/>
      <w:bCs/>
      <w:color w:val="365F91"/>
      <w:sz w:val="28"/>
      <w:szCs w:val="28"/>
    </w:rPr>
  </w:style>
  <w:style w:type="character" w:customStyle="1" w:styleId="Heading2Char">
    <w:name w:val="Heading 2 Char"/>
    <w:basedOn w:val="DefaultParagraphFont"/>
    <w:link w:val="Heading2"/>
    <w:uiPriority w:val="9"/>
    <w:locked/>
    <w:rPr>
      <w:rFonts w:ascii="Cambria" w:eastAsia="Times New Roman" w:hAnsi="Cambria" w:cs="Times New Roman" w:hint="default"/>
      <w:b/>
      <w:bCs/>
      <w:color w:val="4F81BD"/>
      <w:sz w:val="26"/>
      <w:szCs w:val="26"/>
    </w:rPr>
  </w:style>
  <w:style w:type="character" w:customStyle="1" w:styleId="Heading3Char">
    <w:name w:val="Heading 3 Char"/>
    <w:basedOn w:val="DefaultParagraphFont"/>
    <w:link w:val="Heading3"/>
    <w:uiPriority w:val="9"/>
    <w:locked/>
    <w:rPr>
      <w:rFonts w:ascii="Cambria" w:eastAsia="Times New Roman" w:hAnsi="Cambria" w:cs="Times New Roman" w:hint="default"/>
      <w:b/>
      <w:bCs/>
      <w:color w:val="4F81BD"/>
      <w:sz w:val="24"/>
      <w:szCs w:val="24"/>
    </w:rPr>
  </w:style>
  <w:style w:type="character" w:customStyle="1" w:styleId="Heading4Char">
    <w:name w:val="Heading 4 Char"/>
    <w:basedOn w:val="DefaultParagraphFont"/>
    <w:link w:val="Heading4"/>
    <w:uiPriority w:val="9"/>
    <w:locked/>
    <w:rPr>
      <w:rFonts w:ascii="Cambria" w:eastAsia="Times New Roman" w:hAnsi="Cambria" w:cs="Times New Roman" w:hint="default"/>
      <w:b/>
      <w:bCs/>
      <w:i/>
      <w:iCs/>
      <w:color w:val="4F81BD"/>
      <w:sz w:val="24"/>
      <w:szCs w:val="24"/>
    </w:rPr>
  </w:style>
  <w:style w:type="character" w:customStyle="1" w:styleId="Heading5Char">
    <w:name w:val="Heading 5 Char"/>
    <w:basedOn w:val="DefaultParagraphFont"/>
    <w:link w:val="Heading5"/>
    <w:uiPriority w:val="9"/>
    <w:semiHidden/>
    <w:locked/>
    <w:rPr>
      <w:rFonts w:ascii="Cambria" w:eastAsia="Times New Roman" w:hAnsi="Cambria" w:cs="Times New Roman" w:hint="default"/>
      <w:color w:val="243F60"/>
      <w:sz w:val="24"/>
      <w:szCs w:val="24"/>
    </w:rPr>
  </w:style>
  <w:style w:type="paragraph" w:styleId="NormalWeb">
    <w:name w:val="Normal (Web)"/>
    <w:basedOn w:val="Normal"/>
    <w:uiPriority w:val="99"/>
    <w:unhideWhenUsed/>
    <w:pPr>
      <w:spacing w:before="100" w:beforeAutospacing="1" w:after="100" w:afterAutospacing="1"/>
    </w:pPr>
  </w:style>
  <w:style w:type="paragraph" w:customStyle="1" w:styleId="block">
    <w:name w:val="block"/>
    <w:basedOn w:val="Normal"/>
    <w:uiPriority w:val="99"/>
    <w:pPr>
      <w:spacing w:before="100" w:beforeAutospacing="1" w:after="100" w:afterAutospacing="1"/>
    </w:pPr>
  </w:style>
  <w:style w:type="paragraph" w:customStyle="1" w:styleId="strong">
    <w:name w:val="strong"/>
    <w:basedOn w:val="Normal"/>
    <w:uiPriority w:val="99"/>
    <w:pPr>
      <w:ind w:left="600"/>
    </w:pPr>
    <w:rPr>
      <w:b/>
      <w:bCs/>
      <w:color w:val="6E6E6E"/>
    </w:rPr>
  </w:style>
  <w:style w:type="paragraph" w:customStyle="1" w:styleId="text-red">
    <w:name w:val="text-red"/>
    <w:basedOn w:val="Normal"/>
    <w:uiPriority w:val="99"/>
    <w:pPr>
      <w:spacing w:before="100" w:beforeAutospacing="1" w:after="100" w:afterAutospacing="1"/>
    </w:pPr>
    <w:rPr>
      <w:color w:val="B02B2E"/>
    </w:rPr>
  </w:style>
  <w:style w:type="paragraph" w:customStyle="1" w:styleId="text-boldred">
    <w:name w:val="text-boldred"/>
    <w:basedOn w:val="Normal"/>
    <w:uiPriority w:val="99"/>
    <w:pPr>
      <w:spacing w:before="100" w:beforeAutospacing="1" w:after="100" w:afterAutospacing="1"/>
    </w:pPr>
    <w:rPr>
      <w:b/>
      <w:bCs/>
      <w:color w:val="B02B2E"/>
    </w:rPr>
  </w:style>
  <w:style w:type="paragraph" w:customStyle="1" w:styleId="text-bold">
    <w:name w:val="text-bold"/>
    <w:basedOn w:val="Normal"/>
    <w:uiPriority w:val="99"/>
    <w:pPr>
      <w:spacing w:before="100" w:beforeAutospacing="1" w:after="100" w:afterAutospacing="1"/>
    </w:pPr>
    <w:rPr>
      <w:b/>
      <w:bCs/>
    </w:rPr>
  </w:style>
  <w:style w:type="paragraph" w:customStyle="1" w:styleId="text-italic">
    <w:name w:val="text-italic"/>
    <w:basedOn w:val="Normal"/>
    <w:uiPriority w:val="99"/>
    <w:pPr>
      <w:spacing w:before="100" w:beforeAutospacing="1" w:after="100" w:afterAutospacing="1"/>
    </w:pPr>
    <w:rPr>
      <w:i/>
      <w:iCs/>
    </w:rPr>
  </w:style>
  <w:style w:type="paragraph" w:customStyle="1" w:styleId="text-bold-italic">
    <w:name w:val="text-bold-italic"/>
    <w:basedOn w:val="Normal"/>
    <w:uiPriority w:val="99"/>
    <w:pPr>
      <w:spacing w:before="100" w:beforeAutospacing="1" w:after="100" w:afterAutospacing="1"/>
    </w:pPr>
    <w:rPr>
      <w:b/>
      <w:bCs/>
      <w:i/>
      <w:iCs/>
    </w:rPr>
  </w:style>
  <w:style w:type="paragraph" w:customStyle="1" w:styleId="text-bold-underline">
    <w:name w:val="text-bold-underline"/>
    <w:basedOn w:val="Normal"/>
    <w:uiPriority w:val="99"/>
    <w:pPr>
      <w:spacing w:before="100" w:beforeAutospacing="1" w:after="100" w:afterAutospacing="1"/>
    </w:pPr>
    <w:rPr>
      <w:b/>
      <w:bCs/>
      <w:u w:val="single"/>
    </w:rPr>
  </w:style>
  <w:style w:type="paragraph" w:customStyle="1" w:styleId="text-italic-underline">
    <w:name w:val="text-italic-underline"/>
    <w:basedOn w:val="Normal"/>
    <w:uiPriority w:val="99"/>
    <w:pPr>
      <w:spacing w:before="100" w:beforeAutospacing="1" w:after="100" w:afterAutospacing="1"/>
    </w:pPr>
    <w:rPr>
      <w:i/>
      <w:iCs/>
      <w:u w:val="single"/>
    </w:rPr>
  </w:style>
  <w:style w:type="paragraph" w:customStyle="1" w:styleId="text-bold-italic-underline">
    <w:name w:val="text-bold-italic-underline"/>
    <w:basedOn w:val="Normal"/>
    <w:uiPriority w:val="99"/>
    <w:pPr>
      <w:spacing w:before="100" w:beforeAutospacing="1" w:after="100" w:afterAutospacing="1"/>
    </w:pPr>
    <w:rPr>
      <w:b/>
      <w:bCs/>
      <w:i/>
      <w:iCs/>
      <w:u w:val="single"/>
    </w:rPr>
  </w:style>
  <w:style w:type="paragraph" w:customStyle="1" w:styleId="text-link">
    <w:name w:val="text-link"/>
    <w:basedOn w:val="Normal"/>
    <w:uiPriority w:val="99"/>
    <w:pPr>
      <w:spacing w:before="100" w:beforeAutospacing="1" w:after="100" w:afterAutospacing="1"/>
    </w:pPr>
    <w:rPr>
      <w:color w:val="1B4778"/>
      <w:u w:val="single"/>
    </w:rPr>
  </w:style>
  <w:style w:type="paragraph" w:customStyle="1" w:styleId="alignright">
    <w:name w:val="alignright"/>
    <w:basedOn w:val="Normal"/>
    <w:uiPriority w:val="99"/>
    <w:pPr>
      <w:spacing w:before="100" w:beforeAutospacing="1" w:after="100" w:afterAutospacing="1"/>
      <w:jc w:val="right"/>
    </w:pPr>
  </w:style>
  <w:style w:type="paragraph" w:customStyle="1" w:styleId="alignleft">
    <w:name w:val="alignleft"/>
    <w:basedOn w:val="Normal"/>
    <w:uiPriority w:val="99"/>
    <w:pPr>
      <w:spacing w:before="100" w:beforeAutospacing="1" w:after="100" w:afterAutospacing="1"/>
    </w:pPr>
  </w:style>
  <w:style w:type="paragraph" w:customStyle="1" w:styleId="aligncenter">
    <w:name w:val="aligncenter"/>
    <w:basedOn w:val="Normal"/>
    <w:uiPriority w:val="99"/>
    <w:pPr>
      <w:spacing w:before="100" w:beforeAutospacing="1" w:after="100" w:afterAutospacing="1"/>
      <w:jc w:val="center"/>
    </w:pPr>
  </w:style>
  <w:style w:type="paragraph" w:customStyle="1" w:styleId="sarc-tbl">
    <w:name w:val="sarc-tbl"/>
    <w:basedOn w:val="Normal"/>
    <w:uiPriority w:val="99"/>
    <w:pPr>
      <w:spacing w:before="300" w:after="150"/>
    </w:pPr>
    <w:rPr>
      <w:rFonts w:ascii="Verdana" w:hAnsi="Verdana"/>
    </w:rPr>
  </w:style>
  <w:style w:type="paragraph" w:customStyle="1" w:styleId="footer-tbl">
    <w:name w:val="footer-tbl"/>
    <w:basedOn w:val="Normal"/>
    <w:uiPriority w:val="99"/>
    <w:pPr>
      <w:spacing w:before="100" w:beforeAutospacing="1" w:after="100" w:afterAutospacing="1"/>
    </w:pPr>
    <w:rPr>
      <w:rFonts w:ascii="Verdana" w:hAnsi="Verdana"/>
      <w:sz w:val="18"/>
      <w:szCs w:val="18"/>
    </w:rPr>
  </w:style>
  <w:style w:type="paragraph" w:customStyle="1" w:styleId="blt">
    <w:name w:val="blt"/>
    <w:basedOn w:val="Normal"/>
    <w:uiPriority w:val="99"/>
    <w:pPr>
      <w:spacing w:line="288" w:lineRule="atLeast"/>
      <w:ind w:left="150"/>
    </w:pPr>
    <w:rPr>
      <w:b/>
      <w:bCs/>
      <w:u w:val="single"/>
    </w:rPr>
  </w:style>
  <w:style w:type="paragraph" w:customStyle="1" w:styleId="downloadwrap">
    <w:name w:val="downloadwrap"/>
    <w:basedOn w:val="Normal"/>
    <w:uiPriority w:val="99"/>
  </w:style>
  <w:style w:type="paragraph" w:customStyle="1" w:styleId="sarcreportsection">
    <w:name w:val="sarcreportsection"/>
    <w:basedOn w:val="Normal"/>
    <w:uiPriority w:val="99"/>
    <w:pPr>
      <w:spacing w:before="100" w:beforeAutospacing="1" w:after="100" w:afterAutospacing="1"/>
    </w:pPr>
  </w:style>
  <w:style w:type="character" w:customStyle="1" w:styleId="text-bold1">
    <w:name w:val="text-bold1"/>
    <w:basedOn w:val="DefaultParagraphFont"/>
    <w:rPr>
      <w:b/>
      <w:bCs/>
    </w:rPr>
  </w:style>
  <w:style w:type="character" w:customStyle="1" w:styleId="text-bold-italic1">
    <w:name w:val="text-bold-italic1"/>
    <w:basedOn w:val="DefaultParagraphFont"/>
    <w:rPr>
      <w:b/>
      <w:bCs/>
      <w:i/>
      <w:iCs/>
    </w:rPr>
  </w:style>
  <w:style w:type="character" w:customStyle="1" w:styleId="text-italic1">
    <w:name w:val="text-italic1"/>
    <w:basedOn w:val="DefaultParagraphFont"/>
    <w:rPr>
      <w:i/>
      <w:iCs/>
    </w:rPr>
  </w:style>
</w:styles>
</file>

<file path=word/webSettings.xml><?xml version="1.0" encoding="utf-8"?>
<w:webSettings xmlns:r="http://schemas.openxmlformats.org/officeDocument/2006/relationships" xmlns:w="http://schemas.openxmlformats.org/wordprocessingml/2006/main">
  <w:divs>
    <w:div w:id="1964605338">
      <w:marLeft w:val="0"/>
      <w:marRight w:val="0"/>
      <w:marTop w:val="0"/>
      <w:marBottom w:val="0"/>
      <w:divBdr>
        <w:top w:val="none" w:sz="0" w:space="0" w:color="auto"/>
        <w:left w:val="none" w:sz="0" w:space="0" w:color="auto"/>
        <w:bottom w:val="none" w:sz="0" w:space="0" w:color="auto"/>
        <w:right w:val="none" w:sz="0" w:space="0" w:color="auto"/>
      </w:divBdr>
      <w:divsChild>
        <w:div w:id="2099060955">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e.ca.gov/ds/fd/ec/" TargetMode="External"/><Relationship Id="rId13" Type="http://schemas.openxmlformats.org/officeDocument/2006/relationships/hyperlink" Target="http://cahsee.cde.ca.gov/" TargetMode="External"/><Relationship Id="rId18" Type="http://schemas.openxmlformats.org/officeDocument/2006/relationships/hyperlink" Target="http://www.universityofcalifornia.edu/admissions/"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cde.ca.gov/nclb/sr/tq/" TargetMode="External"/><Relationship Id="rId12" Type="http://schemas.openxmlformats.org/officeDocument/2006/relationships/hyperlink" Target="http://star.cde.ca.gov/" TargetMode="External"/><Relationship Id="rId17" Type="http://schemas.openxmlformats.org/officeDocument/2006/relationships/hyperlink" Target="http://www.cde.ca.gov/ta/ac/ay/tidetermine.asp" TargetMode="External"/><Relationship Id="rId2" Type="http://schemas.openxmlformats.org/officeDocument/2006/relationships/styles" Target="styles.xml"/><Relationship Id="rId16" Type="http://schemas.openxmlformats.org/officeDocument/2006/relationships/hyperlink" Target="http://www.cde.ca.gov/ta/ac/ay/"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dq.cde.ca.gov/dataquest/" TargetMode="External"/><Relationship Id="rId11" Type="http://schemas.openxmlformats.org/officeDocument/2006/relationships/hyperlink" Target="http://www.cde.ca.gov/ds/fd/cs/" TargetMode="External"/><Relationship Id="rId5" Type="http://schemas.openxmlformats.org/officeDocument/2006/relationships/hyperlink" Target="http://www.cde.ca.gov/ta/ac/sa/" TargetMode="External"/><Relationship Id="rId15" Type="http://schemas.openxmlformats.org/officeDocument/2006/relationships/hyperlink" Target="http://www.cde.ca.gov/ta/ac/ap/" TargetMode="External"/><Relationship Id="rId10" Type="http://schemas.openxmlformats.org/officeDocument/2006/relationships/hyperlink" Target="http://www.ed-data.org/" TargetMode="External"/><Relationship Id="rId19" Type="http://schemas.openxmlformats.org/officeDocument/2006/relationships/hyperlink" Target="http://www.calstate.edu/admission/admission.shtml" TargetMode="External"/><Relationship Id="rId4" Type="http://schemas.openxmlformats.org/officeDocument/2006/relationships/webSettings" Target="webSettings.xml"/><Relationship Id="rId9" Type="http://schemas.openxmlformats.org/officeDocument/2006/relationships/hyperlink" Target="http://www.cde.ca.gov/ds/fd/cs/" TargetMode="External"/><Relationship Id="rId14" Type="http://schemas.openxmlformats.org/officeDocument/2006/relationships/hyperlink" Target="http://www.cde.ca.gov/ta/tg/p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5660</Words>
  <Characters>32264</Characters>
  <Application>Microsoft Office Word</Application>
  <DocSecurity>0</DocSecurity>
  <Lines>268</Lines>
  <Paragraphs>75</Paragraphs>
  <ScaleCrop>false</ScaleCrop>
  <HeadingPairs>
    <vt:vector size="2" baseType="variant">
      <vt:variant>
        <vt:lpstr>Title</vt:lpstr>
      </vt:variant>
      <vt:variant>
        <vt:i4>1</vt:i4>
      </vt:variant>
    </vt:vector>
  </HeadingPairs>
  <TitlesOfParts>
    <vt:vector size="1" baseType="lpstr">
      <vt:lpstr>Pages - SARC Template 1011 19757136011076 English</vt:lpstr>
    </vt:vector>
  </TitlesOfParts>
  <Company/>
  <LinksUpToDate>false</LinksUpToDate>
  <CharactersWithSpaces>37849</CharactersWithSpaces>
  <SharedDoc>false</SharedDoc>
  <HLinks>
    <vt:vector size="90" baseType="variant">
      <vt:variant>
        <vt:i4>4522065</vt:i4>
      </vt:variant>
      <vt:variant>
        <vt:i4>42</vt:i4>
      </vt:variant>
      <vt:variant>
        <vt:i4>0</vt:i4>
      </vt:variant>
      <vt:variant>
        <vt:i4>5</vt:i4>
      </vt:variant>
      <vt:variant>
        <vt:lpwstr>http://www.calstate.edu/admission/admission.shtml</vt:lpwstr>
      </vt:variant>
      <vt:variant>
        <vt:lpwstr/>
      </vt:variant>
      <vt:variant>
        <vt:i4>5177420</vt:i4>
      </vt:variant>
      <vt:variant>
        <vt:i4>39</vt:i4>
      </vt:variant>
      <vt:variant>
        <vt:i4>0</vt:i4>
      </vt:variant>
      <vt:variant>
        <vt:i4>5</vt:i4>
      </vt:variant>
      <vt:variant>
        <vt:lpwstr>http://www.universityofcalifornia.edu/admissions/</vt:lpwstr>
      </vt:variant>
      <vt:variant>
        <vt:lpwstr/>
      </vt:variant>
      <vt:variant>
        <vt:i4>8192043</vt:i4>
      </vt:variant>
      <vt:variant>
        <vt:i4>36</vt:i4>
      </vt:variant>
      <vt:variant>
        <vt:i4>0</vt:i4>
      </vt:variant>
      <vt:variant>
        <vt:i4>5</vt:i4>
      </vt:variant>
      <vt:variant>
        <vt:lpwstr>http://www.cde.ca.gov/ta/ac/ay/tidetermine.asp</vt:lpwstr>
      </vt:variant>
      <vt:variant>
        <vt:lpwstr/>
      </vt:variant>
      <vt:variant>
        <vt:i4>7733299</vt:i4>
      </vt:variant>
      <vt:variant>
        <vt:i4>33</vt:i4>
      </vt:variant>
      <vt:variant>
        <vt:i4>0</vt:i4>
      </vt:variant>
      <vt:variant>
        <vt:i4>5</vt:i4>
      </vt:variant>
      <vt:variant>
        <vt:lpwstr>http://www.cde.ca.gov/ta/ac/ay/</vt:lpwstr>
      </vt:variant>
      <vt:variant>
        <vt:lpwstr/>
      </vt:variant>
      <vt:variant>
        <vt:i4>8323123</vt:i4>
      </vt:variant>
      <vt:variant>
        <vt:i4>30</vt:i4>
      </vt:variant>
      <vt:variant>
        <vt:i4>0</vt:i4>
      </vt:variant>
      <vt:variant>
        <vt:i4>5</vt:i4>
      </vt:variant>
      <vt:variant>
        <vt:lpwstr>http://www.cde.ca.gov/ta/ac/ap/</vt:lpwstr>
      </vt:variant>
      <vt:variant>
        <vt:lpwstr/>
      </vt:variant>
      <vt:variant>
        <vt:i4>8126502</vt:i4>
      </vt:variant>
      <vt:variant>
        <vt:i4>27</vt:i4>
      </vt:variant>
      <vt:variant>
        <vt:i4>0</vt:i4>
      </vt:variant>
      <vt:variant>
        <vt:i4>5</vt:i4>
      </vt:variant>
      <vt:variant>
        <vt:lpwstr>http://www.cde.ca.gov/ta/tg/pf/</vt:lpwstr>
      </vt:variant>
      <vt:variant>
        <vt:lpwstr/>
      </vt:variant>
      <vt:variant>
        <vt:i4>5308506</vt:i4>
      </vt:variant>
      <vt:variant>
        <vt:i4>24</vt:i4>
      </vt:variant>
      <vt:variant>
        <vt:i4>0</vt:i4>
      </vt:variant>
      <vt:variant>
        <vt:i4>5</vt:i4>
      </vt:variant>
      <vt:variant>
        <vt:lpwstr>http://cahsee.cde.ca.gov/</vt:lpwstr>
      </vt:variant>
      <vt:variant>
        <vt:lpwstr/>
      </vt:variant>
      <vt:variant>
        <vt:i4>2949163</vt:i4>
      </vt:variant>
      <vt:variant>
        <vt:i4>21</vt:i4>
      </vt:variant>
      <vt:variant>
        <vt:i4>0</vt:i4>
      </vt:variant>
      <vt:variant>
        <vt:i4>5</vt:i4>
      </vt:variant>
      <vt:variant>
        <vt:lpwstr>http://star.cde.ca.gov/</vt:lpwstr>
      </vt:variant>
      <vt:variant>
        <vt:lpwstr/>
      </vt:variant>
      <vt:variant>
        <vt:i4>6881318</vt:i4>
      </vt:variant>
      <vt:variant>
        <vt:i4>18</vt:i4>
      </vt:variant>
      <vt:variant>
        <vt:i4>0</vt:i4>
      </vt:variant>
      <vt:variant>
        <vt:i4>5</vt:i4>
      </vt:variant>
      <vt:variant>
        <vt:lpwstr>http://www.cde.ca.gov/ds/fd/cs/</vt:lpwstr>
      </vt:variant>
      <vt:variant>
        <vt:lpwstr/>
      </vt:variant>
      <vt:variant>
        <vt:i4>7012472</vt:i4>
      </vt:variant>
      <vt:variant>
        <vt:i4>15</vt:i4>
      </vt:variant>
      <vt:variant>
        <vt:i4>0</vt:i4>
      </vt:variant>
      <vt:variant>
        <vt:i4>5</vt:i4>
      </vt:variant>
      <vt:variant>
        <vt:lpwstr>http://www.ed-data.org/</vt:lpwstr>
      </vt:variant>
      <vt:variant>
        <vt:lpwstr/>
      </vt:variant>
      <vt:variant>
        <vt:i4>6881318</vt:i4>
      </vt:variant>
      <vt:variant>
        <vt:i4>12</vt:i4>
      </vt:variant>
      <vt:variant>
        <vt:i4>0</vt:i4>
      </vt:variant>
      <vt:variant>
        <vt:i4>5</vt:i4>
      </vt:variant>
      <vt:variant>
        <vt:lpwstr>http://www.cde.ca.gov/ds/fd/cs/</vt:lpwstr>
      </vt:variant>
      <vt:variant>
        <vt:lpwstr/>
      </vt:variant>
      <vt:variant>
        <vt:i4>7929888</vt:i4>
      </vt:variant>
      <vt:variant>
        <vt:i4>9</vt:i4>
      </vt:variant>
      <vt:variant>
        <vt:i4>0</vt:i4>
      </vt:variant>
      <vt:variant>
        <vt:i4>5</vt:i4>
      </vt:variant>
      <vt:variant>
        <vt:lpwstr>http://www.cde.ca.gov/ds/fd/ec/</vt:lpwstr>
      </vt:variant>
      <vt:variant>
        <vt:lpwstr/>
      </vt:variant>
      <vt:variant>
        <vt:i4>786497</vt:i4>
      </vt:variant>
      <vt:variant>
        <vt:i4>6</vt:i4>
      </vt:variant>
      <vt:variant>
        <vt:i4>0</vt:i4>
      </vt:variant>
      <vt:variant>
        <vt:i4>5</vt:i4>
      </vt:variant>
      <vt:variant>
        <vt:lpwstr>http://www.cde.ca.gov/nclb/sr/tq/</vt:lpwstr>
      </vt:variant>
      <vt:variant>
        <vt:lpwstr/>
      </vt:variant>
      <vt:variant>
        <vt:i4>2818165</vt:i4>
      </vt:variant>
      <vt:variant>
        <vt:i4>3</vt:i4>
      </vt:variant>
      <vt:variant>
        <vt:i4>0</vt:i4>
      </vt:variant>
      <vt:variant>
        <vt:i4>5</vt:i4>
      </vt:variant>
      <vt:variant>
        <vt:lpwstr>http://dq.cde.ca.gov/dataquest/</vt:lpwstr>
      </vt:variant>
      <vt:variant>
        <vt:lpwstr/>
      </vt:variant>
      <vt:variant>
        <vt:i4>7208993</vt:i4>
      </vt:variant>
      <vt:variant>
        <vt:i4>0</vt:i4>
      </vt:variant>
      <vt:variant>
        <vt:i4>0</vt:i4>
      </vt:variant>
      <vt:variant>
        <vt:i4>5</vt:i4>
      </vt:variant>
      <vt:variant>
        <vt:lpwstr>http://www.cde.ca.gov/ta/ac/sa/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Pages - SARC Template 1011 19757136011076 English</dc:title>
  <dc:creator>Robert</dc:creator>
  <cp:lastModifiedBy>Robert</cp:lastModifiedBy>
  <cp:revision>2</cp:revision>
  <dcterms:created xsi:type="dcterms:W3CDTF">2012-01-31T20:10:00Z</dcterms:created>
  <dcterms:modified xsi:type="dcterms:W3CDTF">2012-01-31T20:10:00Z</dcterms:modified>
</cp:coreProperties>
</file>