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B1A" w:rsidRDefault="00DD5B1A">
      <w:pPr>
        <w:pStyle w:val="Heading2"/>
        <w:divId w:val="1531064940"/>
      </w:pPr>
      <w:r>
        <w:rPr>
          <w:color w:val="000000"/>
          <w:sz w:val="32"/>
          <w:szCs w:val="32"/>
        </w:rPr>
        <w:t>Executive Summary School Accountability Report Card, 2010–11</w:t>
      </w:r>
    </w:p>
    <w:p w:rsidR="00DD5B1A" w:rsidRDefault="00DD5B1A">
      <w:pPr>
        <w:divId w:val="1531064940"/>
      </w:pPr>
    </w:p>
    <w:p w:rsidR="00DD5B1A" w:rsidRDefault="00DD5B1A">
      <w:pPr>
        <w:pStyle w:val="Heading2"/>
        <w:divId w:val="1531064940"/>
      </w:pPr>
      <w:r>
        <w:rPr>
          <w:color w:val="B02B2E"/>
          <w:sz w:val="30"/>
          <w:szCs w:val="30"/>
        </w:rPr>
        <w:t>For</w:t>
      </w:r>
      <w:r>
        <w:rPr>
          <w:color w:val="000000"/>
        </w:rPr>
        <w:t xml:space="preserve"> Mark Keppel High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6"/>
        <w:gridCol w:w="4575"/>
        <w:gridCol w:w="1329"/>
        <w:gridCol w:w="1356"/>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501 East Hellman Ave., Alhambra, CA, 91801-5716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626-943-6700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Grace Love,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Span: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9-12</w:t>
            </w:r>
          </w:p>
        </w:tc>
      </w:tr>
    </w:tbl>
    <w:p w:rsidR="00DD5B1A" w:rsidRDefault="00DD5B1A">
      <w:pPr>
        <w:divId w:val="1531064940"/>
      </w:pPr>
      <w:r>
        <w:br/>
      </w:r>
      <w:r>
        <w:rPr>
          <w:rFonts w:ascii="Verdana" w:hAnsi="Verdana"/>
          <w:color w:val="555555"/>
          <w:sz w:val="17"/>
          <w:szCs w:val="17"/>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DD5B1A" w:rsidRDefault="00DD5B1A">
      <w:pPr>
        <w:pStyle w:val="Heading3"/>
        <w:divId w:val="1531064940"/>
      </w:pPr>
      <w:r>
        <w:rPr>
          <w:color w:val="000000"/>
          <w:sz w:val="30"/>
          <w:szCs w:val="30"/>
        </w:rPr>
        <w:t>About This School</w:t>
      </w:r>
    </w:p>
    <w:tbl>
      <w:tblPr>
        <w:tblW w:w="0" w:type="auto"/>
        <w:tblLook w:val="04A0"/>
      </w:tblPr>
      <w:tblGrid>
        <w:gridCol w:w="10920"/>
      </w:tblGrid>
      <w:tr w:rsidR="00DD5B1A">
        <w:trPr>
          <w:divId w:val="153106494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DD5B1A" w:rsidRDefault="00DD5B1A">
            <w:pPr>
              <w:pStyle w:val="NormalWeb"/>
              <w:spacing w:before="0" w:beforeAutospacing="0" w:after="0" w:afterAutospacing="0"/>
              <w:ind w:left="20" w:right="20"/>
              <w:rPr>
                <w:sz w:val="20"/>
                <w:szCs w:val="20"/>
              </w:rPr>
            </w:pPr>
            <w:r>
              <w:rPr>
                <w:rFonts w:ascii="Arial" w:hAnsi="Arial" w:cs="Arial"/>
                <w:color w:val="000000"/>
                <w:sz w:val="20"/>
                <w:szCs w:val="20"/>
              </w:rPr>
              <w:t>At Mark Keppel High School (MKHS), we maintain high expectations for all students in all aspects of their personal and academic development.  We maintain that all students will succeed in the classroom and demonstrate significant gains in all measures of student achievement.  We demand that students develop the willingness to compete in all walks of life at their highest level.  Most of all, we expect that our students will develop into leaders who contribute to their communities in the most constructive and compassionate manner.</w:t>
            </w:r>
          </w:p>
          <w:p w:rsidR="00DD5B1A" w:rsidRPr="003626FA" w:rsidRDefault="00DD5B1A">
            <w:pPr>
              <w:rPr>
                <w:sz w:val="20"/>
                <w:szCs w:val="20"/>
              </w:rPr>
            </w:pPr>
          </w:p>
          <w:p w:rsidR="00DD5B1A" w:rsidRDefault="00DD5B1A">
            <w:pPr>
              <w:pStyle w:val="NormalWeb"/>
              <w:spacing w:before="0" w:beforeAutospacing="0" w:after="0" w:afterAutospacing="0"/>
              <w:ind w:left="20" w:right="20"/>
              <w:rPr>
                <w:sz w:val="20"/>
                <w:szCs w:val="20"/>
              </w:rPr>
            </w:pPr>
            <w:r>
              <w:rPr>
                <w:rFonts w:ascii="Arial" w:hAnsi="Arial" w:cs="Arial"/>
                <w:color w:val="000000"/>
                <w:sz w:val="20"/>
                <w:szCs w:val="20"/>
              </w:rPr>
              <w:t>Scholastic achievement has been, and will continue to be, the core force that shapes the vision of MKHS.  We have a proud tradition of academic excellence and a long list of highly accomplished graduates.  Students from MKHS move on to some of the most prestigious universities, including Yale, Harvard, Stanford, Columbia, MIT, Cal Tech, the UC’s, USC, the Claremont Colleges,  Cal Art, and other top universities and programs too numerous to list.</w:t>
            </w:r>
          </w:p>
          <w:p w:rsidR="00DD5B1A" w:rsidRPr="003626FA" w:rsidRDefault="00DD5B1A">
            <w:pPr>
              <w:rPr>
                <w:sz w:val="20"/>
                <w:szCs w:val="20"/>
              </w:rPr>
            </w:pPr>
          </w:p>
          <w:p w:rsidR="00DD5B1A" w:rsidRDefault="00DD5B1A">
            <w:pPr>
              <w:pStyle w:val="NormalWeb"/>
              <w:spacing w:before="0" w:beforeAutospacing="0" w:after="0" w:afterAutospacing="0"/>
              <w:ind w:left="20" w:right="20"/>
              <w:rPr>
                <w:sz w:val="20"/>
                <w:szCs w:val="20"/>
              </w:rPr>
            </w:pPr>
            <w:r>
              <w:rPr>
                <w:rFonts w:ascii="Arial" w:hAnsi="Arial" w:cs="Arial"/>
                <w:color w:val="000000"/>
                <w:sz w:val="20"/>
                <w:szCs w:val="20"/>
              </w:rPr>
              <w:t xml:space="preserve">MKHS has garnered many honors, such as the California Distinguished School Award, Exemplary Career Technical Education Program, and Title I Achievement Awards, America’s Best High </w:t>
            </w:r>
            <w:proofErr w:type="spellStart"/>
            <w:r>
              <w:rPr>
                <w:rFonts w:ascii="Arial" w:hAnsi="Arial" w:cs="Arial"/>
                <w:color w:val="000000"/>
                <w:sz w:val="20"/>
                <w:szCs w:val="20"/>
              </w:rPr>
              <w:t>Schools</w:t>
            </w:r>
            <w:proofErr w:type="gramStart"/>
            <w:r>
              <w:rPr>
                <w:rFonts w:ascii="Arial" w:hAnsi="Arial" w:cs="Arial"/>
                <w:color w:val="000000"/>
                <w:sz w:val="20"/>
                <w:szCs w:val="20"/>
              </w:rPr>
              <w:t>,and</w:t>
            </w:r>
            <w:proofErr w:type="spellEnd"/>
            <w:proofErr w:type="gramEnd"/>
            <w:r>
              <w:rPr>
                <w:rFonts w:ascii="Arial" w:hAnsi="Arial" w:cs="Arial"/>
                <w:color w:val="000000"/>
                <w:sz w:val="20"/>
                <w:szCs w:val="20"/>
              </w:rPr>
              <w:t xml:space="preserve"> US News &amp; World Report Silver Medals.  These awards are a direct reflection of the powerful instruction and rigorous academic program that students are engaged in.  Scholastic achievement is expected from all who pass through the halls of MKHS.  This is demonstrated through the past Academic Performance Index scores which continue to be among the highest in the state.  Additionally, over the past several years, MKHS has continued to produce numerous National Merit Scholar Finalists.</w:t>
            </w:r>
          </w:p>
          <w:p w:rsidR="00DD5B1A" w:rsidRPr="003626FA" w:rsidRDefault="00DD5B1A">
            <w:pPr>
              <w:rPr>
                <w:sz w:val="20"/>
                <w:szCs w:val="20"/>
              </w:rPr>
            </w:pPr>
          </w:p>
          <w:p w:rsidR="00DD5B1A" w:rsidRDefault="00DD5B1A">
            <w:pPr>
              <w:pStyle w:val="NormalWeb"/>
              <w:spacing w:before="0" w:beforeAutospacing="0" w:after="0" w:afterAutospacing="0" w:line="0" w:lineRule="atLeast"/>
              <w:ind w:left="20" w:right="20"/>
            </w:pPr>
            <w:r>
              <w:rPr>
                <w:rFonts w:ascii="Arial" w:hAnsi="Arial" w:cs="Arial"/>
                <w:color w:val="000000"/>
                <w:sz w:val="20"/>
                <w:szCs w:val="20"/>
              </w:rPr>
              <w:t>Our expectations are high and our demands are many, but I am confident you will find that graduates from MKHS will leave prepared to compete in the halls of the most challenging academic institutions and will have learned the responsibility of leadership.  This we expect from all who choose to become Mark Keppel Aztecs.</w:t>
            </w:r>
          </w:p>
        </w:tc>
      </w:tr>
    </w:tbl>
    <w:p w:rsidR="00DD5B1A" w:rsidRDefault="00DD5B1A">
      <w:pPr>
        <w:pStyle w:val="Heading3"/>
        <w:divId w:val="1531064940"/>
      </w:pPr>
      <w:r>
        <w:rPr>
          <w:color w:val="000000"/>
          <w:sz w:val="30"/>
          <w:szCs w:val="30"/>
        </w:rPr>
        <w:t>Student Enrollment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1308"/>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Enrollment</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2,452</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70.6%</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22.8%</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64.6%</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41.7%</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bl>
    <w:p w:rsidR="00DD5B1A" w:rsidRDefault="00DD5B1A">
      <w:pPr>
        <w:divId w:val="1531064940"/>
      </w:pPr>
    </w:p>
    <w:p w:rsidR="00DD5B1A" w:rsidRDefault="00DD5B1A">
      <w:pPr>
        <w:pStyle w:val="Heading3"/>
        <w:divId w:val="1531064940"/>
      </w:pPr>
      <w:r>
        <w:rPr>
          <w:color w:val="000000"/>
          <w:sz w:val="30"/>
          <w:szCs w:val="30"/>
        </w:rPr>
        <w:t>Teachers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93"/>
        <w:gridCol w:w="1113"/>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84</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Teaching Outside Subject Area of Competence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r>
    </w:tbl>
    <w:p w:rsidR="00DD5B1A" w:rsidRDefault="00DD5B1A">
      <w:pPr>
        <w:divId w:val="1531064940"/>
      </w:pPr>
    </w:p>
    <w:p w:rsidR="00DD5B1A" w:rsidRDefault="00DD5B1A">
      <w:pPr>
        <w:pStyle w:val="Heading3"/>
        <w:divId w:val="1531064940"/>
      </w:pPr>
      <w:r>
        <w:rPr>
          <w:color w:val="000000"/>
          <w:sz w:val="30"/>
          <w:szCs w:val="30"/>
        </w:rPr>
        <w:t>Student Performance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18"/>
        <w:gridCol w:w="6039"/>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Students Proficient and Above on STAR* Program Results</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67%</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r>
    </w:tbl>
    <w:p w:rsidR="00DD5B1A" w:rsidRDefault="00DD5B1A">
      <w:pPr>
        <w:divId w:val="1531064940"/>
      </w:pPr>
      <w:r>
        <w:br/>
      </w:r>
      <w:r>
        <w:rPr>
          <w:rFonts w:ascii="Verdana" w:hAnsi="Verdana"/>
          <w:color w:val="555555"/>
          <w:sz w:val="17"/>
          <w:szCs w:val="17"/>
        </w:rPr>
        <w:t>*Standardized Testing and Reporting Program assessments used for accountability purposes include the California Standards Tests, the California Modified Assessment, and the California Alternate Performance Assessment.</w:t>
      </w:r>
    </w:p>
    <w:p w:rsidR="00DD5B1A" w:rsidRDefault="00DD5B1A">
      <w:pPr>
        <w:pStyle w:val="Heading3"/>
        <w:divId w:val="1531064940"/>
      </w:pPr>
      <w:r>
        <w:rPr>
          <w:color w:val="000000"/>
          <w:sz w:val="30"/>
          <w:szCs w:val="30"/>
        </w:rPr>
        <w:t>Academic Progress*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30"/>
        <w:gridCol w:w="1247"/>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 Growth API Score (from 2011 Growth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 Rank (from 2010 Base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All 2011 AYP Requirements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AYP Criteria Met Out of the Total Number of Criteria Possible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Met 22 of 22</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2011–12 Program Improvement Status (PI 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1</w:t>
            </w:r>
          </w:p>
        </w:tc>
      </w:tr>
    </w:tbl>
    <w:p w:rsidR="00DD5B1A" w:rsidRDefault="00DD5B1A">
      <w:pPr>
        <w:divId w:val="1531064940"/>
      </w:pPr>
      <w:r>
        <w:br/>
      </w:r>
      <w:r>
        <w:rPr>
          <w:rFonts w:ascii="Verdana" w:hAnsi="Verdana"/>
          <w:color w:val="555555"/>
          <w:sz w:val="17"/>
          <w:szCs w:val="17"/>
        </w:rPr>
        <w:t>*The Academic Performance Index is required under state law. Adequate Yearly Progress is required by federal law.</w:t>
      </w:r>
    </w:p>
    <w:p w:rsidR="00DD5B1A" w:rsidRDefault="00DD5B1A">
      <w:pPr>
        <w:pStyle w:val="Heading3"/>
        <w:divId w:val="1531064940"/>
      </w:pPr>
      <w:r>
        <w:rPr>
          <w:color w:val="000000"/>
          <w:sz w:val="30"/>
          <w:szCs w:val="30"/>
        </w:rPr>
        <w:t>School Facilities</w:t>
      </w:r>
    </w:p>
    <w:p w:rsidR="00DD5B1A" w:rsidRDefault="00DD5B1A">
      <w:pPr>
        <w:pStyle w:val="Heading4"/>
        <w:divId w:val="1531064940"/>
      </w:pPr>
      <w:r>
        <w:rPr>
          <w:color w:val="000000"/>
          <w:sz w:val="23"/>
          <w:szCs w:val="23"/>
        </w:rPr>
        <w:t>Summary of Most Recent Site Inspection</w:t>
      </w:r>
    </w:p>
    <w:tbl>
      <w:tblPr>
        <w:tblW w:w="0" w:type="auto"/>
        <w:tblLook w:val="04A0"/>
      </w:tblPr>
      <w:tblGrid>
        <w:gridCol w:w="10920"/>
      </w:tblGrid>
      <w:tr w:rsidR="00DD5B1A">
        <w:trPr>
          <w:divId w:val="153106494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DD5B1A" w:rsidRDefault="00DD5B1A">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 xml:space="preserve">The most recent inspections by the Mark Keppel HS Plant Foreman found the site to be clean, </w:t>
            </w:r>
            <w:proofErr w:type="gramStart"/>
            <w:r>
              <w:rPr>
                <w:rFonts w:ascii="Arial" w:hAnsi="Arial" w:cs="Arial"/>
                <w:bCs/>
                <w:sz w:val="20"/>
                <w:szCs w:val="20"/>
              </w:rPr>
              <w:t>safe,</w:t>
            </w:r>
            <w:proofErr w:type="gramEnd"/>
            <w:r>
              <w:rPr>
                <w:rFonts w:ascii="Arial" w:hAnsi="Arial" w:cs="Arial"/>
                <w:bCs/>
                <w:sz w:val="20"/>
                <w:szCs w:val="20"/>
              </w:rPr>
              <w:t xml:space="preserve"> and in good repair with no major defects requiring emergency repairs.</w:t>
            </w:r>
          </w:p>
        </w:tc>
      </w:tr>
    </w:tbl>
    <w:p w:rsidR="00DD5B1A" w:rsidRDefault="00DD5B1A">
      <w:pPr>
        <w:pStyle w:val="Heading4"/>
        <w:divId w:val="1531064940"/>
      </w:pPr>
      <w:r>
        <w:rPr>
          <w:color w:val="000000"/>
          <w:sz w:val="23"/>
          <w:szCs w:val="23"/>
        </w:rPr>
        <w:t>Repairs Needed</w:t>
      </w:r>
    </w:p>
    <w:tbl>
      <w:tblPr>
        <w:tblW w:w="0" w:type="auto"/>
        <w:tblLook w:val="04A0"/>
      </w:tblPr>
      <w:tblGrid>
        <w:gridCol w:w="7998"/>
      </w:tblGrid>
      <w:tr w:rsidR="00DD5B1A">
        <w:trPr>
          <w:divId w:val="153106494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DD5B1A" w:rsidRDefault="00DD5B1A">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Most repairs reported on the inspection are general maintenance or wear and tear items.</w:t>
            </w:r>
          </w:p>
        </w:tc>
      </w:tr>
    </w:tbl>
    <w:p w:rsidR="00DD5B1A" w:rsidRDefault="00DD5B1A">
      <w:pPr>
        <w:pStyle w:val="Heading4"/>
        <w:divId w:val="1531064940"/>
      </w:pPr>
      <w:r>
        <w:rPr>
          <w:color w:val="000000"/>
          <w:sz w:val="23"/>
          <w:szCs w:val="23"/>
        </w:rPr>
        <w:t>Corrective Actions Taken or Planned</w:t>
      </w:r>
    </w:p>
    <w:tbl>
      <w:tblPr>
        <w:tblW w:w="0" w:type="auto"/>
        <w:tblLook w:val="04A0"/>
      </w:tblPr>
      <w:tblGrid>
        <w:gridCol w:w="6129"/>
      </w:tblGrid>
      <w:tr w:rsidR="00DD5B1A">
        <w:trPr>
          <w:divId w:val="1531064940"/>
        </w:trPr>
        <w:tc>
          <w:tcPr>
            <w:tcW w:w="6129" w:type="dxa"/>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DD5B1A" w:rsidRDefault="00DD5B1A">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Repairs will be scheduled as ongoing routine maintenance.</w:t>
            </w:r>
          </w:p>
        </w:tc>
      </w:tr>
    </w:tbl>
    <w:p w:rsidR="00DD5B1A" w:rsidRDefault="00DD5B1A">
      <w:pPr>
        <w:divId w:val="1531064940"/>
      </w:pPr>
    </w:p>
    <w:p w:rsidR="00DD5B1A" w:rsidRDefault="00DD5B1A">
      <w:pPr>
        <w:pStyle w:val="Heading3"/>
        <w:divId w:val="1531064940"/>
      </w:pPr>
      <w:r>
        <w:rPr>
          <w:color w:val="000000"/>
          <w:sz w:val="30"/>
          <w:szCs w:val="30"/>
        </w:rPr>
        <w:lastRenderedPageBreak/>
        <w:t>Curriculum and Instructional Materials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66"/>
        <w:gridCol w:w="5769"/>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Pupils Who Lack Textbooks and Instructional Materials</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DD5B1A" w:rsidRDefault="00DD5B1A">
      <w:pPr>
        <w:divId w:val="1531064940"/>
      </w:pPr>
    </w:p>
    <w:p w:rsidR="00DD5B1A" w:rsidRDefault="00DD5B1A">
      <w:pPr>
        <w:pStyle w:val="Heading3"/>
        <w:divId w:val="1531064940"/>
      </w:pPr>
      <w:r>
        <w:rPr>
          <w:color w:val="000000"/>
          <w:sz w:val="30"/>
          <w:szCs w:val="30"/>
        </w:rPr>
        <w:t>School Finances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21"/>
        <w:gridCol w:w="5402"/>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(Unrestricted Sources Only)</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$5,283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r>
    </w:tbl>
    <w:p w:rsidR="00DD5B1A" w:rsidRDefault="00DD5B1A">
      <w:pPr>
        <w:divId w:val="1531064940"/>
      </w:pPr>
    </w:p>
    <w:p w:rsidR="00DD5B1A" w:rsidRDefault="00DD5B1A">
      <w:pPr>
        <w:pStyle w:val="Heading3"/>
        <w:divId w:val="1531064940"/>
      </w:pPr>
      <w:r>
        <w:rPr>
          <w:color w:val="000000"/>
          <w:sz w:val="30"/>
          <w:szCs w:val="30"/>
        </w:rPr>
        <w:t>School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20"/>
        <w:gridCol w:w="839"/>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 (if applicable)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98.05</w:t>
            </w:r>
          </w:p>
        </w:tc>
      </w:tr>
    </w:tbl>
    <w:p w:rsidR="00DD5B1A" w:rsidRDefault="00DD5B1A">
      <w:pPr>
        <w:divId w:val="1531064940"/>
      </w:pPr>
    </w:p>
    <w:p w:rsidR="00DD5B1A" w:rsidRDefault="00DD5B1A">
      <w:pPr>
        <w:pStyle w:val="Heading3"/>
        <w:divId w:val="1531064940"/>
      </w:pPr>
      <w:r>
        <w:rPr>
          <w:color w:val="000000"/>
          <w:sz w:val="30"/>
          <w:szCs w:val="30"/>
        </w:rPr>
        <w:t>Postsecondary Preparation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43"/>
        <w:gridCol w:w="977"/>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Pupils Who Completed a Career Technical Education Program and Earned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28.98%</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Graduates Who Completed All Courses Required for University of California or California State University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45.4%</w:t>
            </w:r>
          </w:p>
        </w:tc>
      </w:tr>
    </w:tbl>
    <w:p w:rsidR="00DD5B1A" w:rsidRDefault="00DD5B1A">
      <w:pPr>
        <w:divId w:val="1531064940"/>
      </w:pPr>
    </w:p>
    <w:p w:rsidR="00486BFA" w:rsidRDefault="00486BFA">
      <w:pPr>
        <w:pStyle w:val="Heading1"/>
        <w:jc w:val="center"/>
        <w:divId w:val="1531064940"/>
        <w:rPr>
          <w:color w:val="000000"/>
        </w:rPr>
      </w:pPr>
    </w:p>
    <w:p w:rsidR="00486BFA" w:rsidRDefault="00486BFA">
      <w:pPr>
        <w:pStyle w:val="Heading1"/>
        <w:jc w:val="center"/>
        <w:divId w:val="1531064940"/>
        <w:rPr>
          <w:color w:val="000000"/>
        </w:rPr>
      </w:pPr>
    </w:p>
    <w:p w:rsidR="00486BFA" w:rsidRDefault="00486BFA">
      <w:pPr>
        <w:pStyle w:val="Heading1"/>
        <w:jc w:val="center"/>
        <w:divId w:val="1531064940"/>
        <w:rPr>
          <w:color w:val="000000"/>
        </w:rPr>
      </w:pPr>
    </w:p>
    <w:p w:rsidR="00DD5B1A" w:rsidRDefault="00DD5B1A">
      <w:pPr>
        <w:pStyle w:val="Heading1"/>
        <w:jc w:val="center"/>
        <w:divId w:val="1531064940"/>
      </w:pPr>
      <w:r>
        <w:rPr>
          <w:color w:val="000000"/>
        </w:rPr>
        <w:lastRenderedPageBreak/>
        <w:t>School Accountability Report Card</w:t>
      </w:r>
    </w:p>
    <w:p w:rsidR="00DD5B1A" w:rsidRDefault="00DD5B1A">
      <w:pPr>
        <w:pStyle w:val="Heading2"/>
        <w:jc w:val="center"/>
        <w:divId w:val="1531064940"/>
      </w:pPr>
      <w:r>
        <w:rPr>
          <w:color w:val="000000"/>
          <w:sz w:val="35"/>
          <w:szCs w:val="35"/>
        </w:rPr>
        <w:t>Reported Using Data from the 2010–11 School Year</w:t>
      </w:r>
    </w:p>
    <w:p w:rsidR="00DD5B1A" w:rsidRDefault="00DD5B1A">
      <w:pPr>
        <w:pStyle w:val="Heading3"/>
        <w:spacing w:before="0" w:after="0"/>
        <w:jc w:val="center"/>
        <w:divId w:val="1531064940"/>
      </w:pPr>
      <w:r>
        <w:rPr>
          <w:b w:val="0"/>
          <w:bCs w:val="0"/>
          <w:i/>
          <w:iCs/>
          <w:color w:val="6E6E6E"/>
          <w:sz w:val="30"/>
          <w:szCs w:val="30"/>
        </w:rPr>
        <w:t>Published During 2011–12</w:t>
      </w:r>
    </w:p>
    <w:p w:rsidR="00DD5B1A" w:rsidRDefault="00DD5B1A">
      <w:pPr>
        <w:divId w:val="1531064940"/>
      </w:pPr>
      <w:r>
        <w:rPr>
          <w:rFonts w:ascii="Verdana" w:hAnsi="Verdana"/>
          <w:color w:val="555555"/>
          <w:sz w:val="17"/>
          <w:szCs w:val="17"/>
        </w:rPr>
        <w:t>Every school in California is required by state law to publish a School Accountability Report Card (SARC), by February 1 of each year. The SARC contains information about the condition and performance of each California public school.</w:t>
      </w:r>
    </w:p>
    <w:p w:rsidR="00DD5B1A" w:rsidRDefault="00DD5B1A">
      <w:pPr>
        <w:numPr>
          <w:ilvl w:val="0"/>
          <w:numId w:val="1"/>
        </w:numPr>
        <w:spacing w:before="100" w:beforeAutospacing="1" w:after="100" w:afterAutospacing="1"/>
        <w:textAlignment w:val="baseline"/>
        <w:divId w:val="1531064940"/>
        <w:rPr>
          <w:rFonts w:ascii="Arial" w:hAnsi="Arial" w:cs="Arial"/>
          <w:color w:val="000000"/>
          <w:sz w:val="23"/>
          <w:szCs w:val="23"/>
        </w:rPr>
      </w:pPr>
      <w:r>
        <w:rPr>
          <w:rFonts w:ascii="Verdana" w:hAnsi="Verdana" w:cs="Arial"/>
          <w:color w:val="555555"/>
          <w:sz w:val="17"/>
          <w:szCs w:val="17"/>
        </w:rPr>
        <w:t>For more information about SARC requirements, see the California Department of Education (CDE) SARC Web page at</w:t>
      </w:r>
      <w:hyperlink r:id="rId5" w:history="1">
        <w:r>
          <w:rPr>
            <w:rStyle w:val="Hyperlink"/>
            <w:rFonts w:ascii="Verdana" w:hAnsi="Verdana" w:cs="Arial"/>
            <w:color w:val="555555"/>
            <w:sz w:val="17"/>
            <w:szCs w:val="17"/>
          </w:rPr>
          <w:t xml:space="preserve"> http://www.cde.ca.gov/ta/ac/sa/</w:t>
        </w:r>
      </w:hyperlink>
      <w:r>
        <w:rPr>
          <w:rFonts w:ascii="Verdana" w:hAnsi="Verdana" w:cs="Arial"/>
          <w:color w:val="555555"/>
          <w:sz w:val="17"/>
          <w:szCs w:val="17"/>
        </w:rPr>
        <w:t>.</w:t>
      </w:r>
    </w:p>
    <w:p w:rsidR="00DD5B1A" w:rsidRDefault="00DD5B1A">
      <w:pPr>
        <w:numPr>
          <w:ilvl w:val="0"/>
          <w:numId w:val="1"/>
        </w:numPr>
        <w:spacing w:before="100" w:beforeAutospacing="1" w:after="100" w:afterAutospacing="1"/>
        <w:textAlignment w:val="baseline"/>
        <w:divId w:val="1531064940"/>
        <w:rPr>
          <w:rFonts w:ascii="Arial" w:hAnsi="Arial" w:cs="Arial"/>
          <w:color w:val="000000"/>
          <w:sz w:val="23"/>
          <w:szCs w:val="23"/>
        </w:rPr>
      </w:pPr>
      <w:r>
        <w:rPr>
          <w:rFonts w:ascii="Verdana" w:hAnsi="Verdana" w:cs="Arial"/>
          <w:color w:val="555555"/>
          <w:sz w:val="17"/>
          <w:szCs w:val="17"/>
        </w:rPr>
        <w:t>For additional information about the school, parents and community members should contact the school principal or the district office.</w:t>
      </w:r>
    </w:p>
    <w:p w:rsidR="00DD5B1A" w:rsidRDefault="00DD5B1A">
      <w:pPr>
        <w:divId w:val="1531064940"/>
      </w:pPr>
      <w:r>
        <w:br/>
      </w:r>
    </w:p>
    <w:p w:rsidR="00DD5B1A" w:rsidRDefault="00DD5B1A">
      <w:pPr>
        <w:pStyle w:val="Heading2"/>
        <w:divId w:val="1531064940"/>
      </w:pPr>
      <w:r>
        <w:rPr>
          <w:color w:val="000000"/>
          <w:sz w:val="32"/>
          <w:szCs w:val="32"/>
        </w:rPr>
        <w:t>I. Data and Access</w:t>
      </w:r>
    </w:p>
    <w:p w:rsidR="00DD5B1A" w:rsidRDefault="00DD5B1A">
      <w:pPr>
        <w:pStyle w:val="Heading4"/>
        <w:divId w:val="1531064940"/>
      </w:pPr>
      <w:r>
        <w:rPr>
          <w:color w:val="000000"/>
          <w:sz w:val="23"/>
          <w:szCs w:val="23"/>
        </w:rPr>
        <w:t>Ed-Data Partnership Web Site</w:t>
      </w:r>
    </w:p>
    <w:p w:rsidR="00DD5B1A" w:rsidRDefault="00DD5B1A">
      <w:pPr>
        <w:divId w:val="1531064940"/>
      </w:pPr>
      <w:r>
        <w:rPr>
          <w:rFonts w:ascii="Verdana" w:hAnsi="Verdana"/>
          <w:color w:val="555555"/>
          <w:sz w:val="17"/>
          <w:szCs w:val="17"/>
        </w:rPr>
        <w:t xml:space="preserve">Ed-Data </w:t>
      </w:r>
      <w:r>
        <w:rPr>
          <w:rFonts w:ascii="Verdana" w:hAnsi="Verdana"/>
          <w:i/>
          <w:iCs/>
          <w:color w:val="555555"/>
          <w:sz w:val="17"/>
          <w:szCs w:val="17"/>
        </w:rPr>
        <w:t xml:space="preserve">is a partnership of the </w:t>
      </w:r>
      <w:r>
        <w:rPr>
          <w:rFonts w:ascii="Verdana" w:hAnsi="Verdana"/>
          <w:color w:val="555555"/>
          <w:sz w:val="17"/>
          <w:szCs w:val="17"/>
        </w:rPr>
        <w:t xml:space="preserve">CDE, </w:t>
      </w:r>
      <w:proofErr w:type="spellStart"/>
      <w:r>
        <w:rPr>
          <w:rFonts w:ascii="Verdana" w:hAnsi="Verdana"/>
          <w:color w:val="555555"/>
          <w:sz w:val="17"/>
          <w:szCs w:val="17"/>
        </w:rPr>
        <w:t>EdSource</w:t>
      </w:r>
      <w:proofErr w:type="spellEnd"/>
      <w:r>
        <w:rPr>
          <w:rFonts w:ascii="Verdana" w:hAnsi="Verdana"/>
          <w:color w:val="555555"/>
          <w:sz w:val="17"/>
          <w:szCs w:val="17"/>
        </w:rPr>
        <w:t>, and the Fiscal Crisis and Management Assistance Team (FCMAT) that provides extensive financial, demographic, and performance information about California’s public kindergarten through grade twelve school districts and schools.</w:t>
      </w:r>
    </w:p>
    <w:p w:rsidR="00DD5B1A" w:rsidRDefault="00DD5B1A">
      <w:pPr>
        <w:pStyle w:val="Heading4"/>
        <w:divId w:val="1531064940"/>
      </w:pPr>
      <w:proofErr w:type="spellStart"/>
      <w:r>
        <w:rPr>
          <w:color w:val="000000"/>
          <w:sz w:val="23"/>
          <w:szCs w:val="23"/>
        </w:rPr>
        <w:t>DataQuest</w:t>
      </w:r>
      <w:proofErr w:type="spellEnd"/>
    </w:p>
    <w:p w:rsidR="00DD5B1A" w:rsidRDefault="00DD5B1A">
      <w:pPr>
        <w:divId w:val="1531064940"/>
      </w:pPr>
      <w:proofErr w:type="spellStart"/>
      <w:r>
        <w:rPr>
          <w:rFonts w:ascii="Verdana" w:hAnsi="Verdana"/>
          <w:color w:val="555555"/>
          <w:sz w:val="17"/>
          <w:szCs w:val="17"/>
        </w:rPr>
        <w:t>DataQuest</w:t>
      </w:r>
      <w:proofErr w:type="spellEnd"/>
      <w:r>
        <w:rPr>
          <w:rFonts w:ascii="Verdana" w:hAnsi="Verdana"/>
          <w:color w:val="555555"/>
          <w:sz w:val="17"/>
          <w:szCs w:val="17"/>
        </w:rPr>
        <w:t xml:space="preserve"> is an online data tool located on the CDE </w:t>
      </w:r>
      <w:proofErr w:type="spellStart"/>
      <w:r>
        <w:rPr>
          <w:rFonts w:ascii="Verdana" w:hAnsi="Verdana"/>
          <w:color w:val="555555"/>
          <w:sz w:val="17"/>
          <w:szCs w:val="17"/>
        </w:rPr>
        <w:t>DataQuest</w:t>
      </w:r>
      <w:proofErr w:type="spellEnd"/>
      <w:r>
        <w:rPr>
          <w:rFonts w:ascii="Verdana" w:hAnsi="Verdana"/>
          <w:color w:val="555555"/>
          <w:sz w:val="17"/>
          <w:szCs w:val="17"/>
        </w:rPr>
        <w:t xml:space="preserve"> Web page at</w:t>
      </w:r>
      <w:hyperlink r:id="rId6" w:history="1">
        <w:r>
          <w:rPr>
            <w:rStyle w:val="Hyperlink"/>
            <w:rFonts w:ascii="Verdana" w:hAnsi="Verdana"/>
            <w:color w:val="555555"/>
            <w:sz w:val="17"/>
            <w:szCs w:val="17"/>
          </w:rPr>
          <w:t xml:space="preserve"> http://dq.cde.ca.gov/dataquest/</w:t>
        </w:r>
      </w:hyperlink>
      <w:r>
        <w:rPr>
          <w:rFonts w:ascii="Verdana" w:hAnsi="Verdana"/>
          <w:color w:val="555555"/>
          <w:sz w:val="17"/>
          <w:szCs w:val="17"/>
        </w:rPr>
        <w:t xml:space="preserve"> that contains additional information about this school and comparisons of the school to the district, the county, and the state. Specifically, </w:t>
      </w:r>
      <w:proofErr w:type="spellStart"/>
      <w:r>
        <w:rPr>
          <w:rFonts w:ascii="Verdana" w:hAnsi="Verdana"/>
          <w:color w:val="555555"/>
          <w:sz w:val="17"/>
          <w:szCs w:val="17"/>
        </w:rPr>
        <w:t>DataQuest</w:t>
      </w:r>
      <w:proofErr w:type="spellEnd"/>
      <w:r>
        <w:rPr>
          <w:rFonts w:ascii="Verdana" w:hAnsi="Verdana"/>
          <w:color w:val="555555"/>
          <w:sz w:val="17"/>
          <w:szCs w:val="17"/>
        </w:rPr>
        <w:t xml:space="preserve"> is a dynamic system that provides reports for accountability (e.g., state Academic Performance Index [API], federal Adequate Yearly Progress [AYP]), test data, enrollment, high school graduates, dropouts, course enrollments, staffing, and data regarding English learners.</w:t>
      </w:r>
    </w:p>
    <w:p w:rsidR="00DD5B1A" w:rsidRDefault="00DD5B1A">
      <w:pPr>
        <w:pStyle w:val="Heading4"/>
        <w:divId w:val="1531064940"/>
      </w:pPr>
      <w:r>
        <w:rPr>
          <w:color w:val="000000"/>
          <w:sz w:val="23"/>
          <w:szCs w:val="23"/>
        </w:rPr>
        <w:t>Internet Access</w:t>
      </w:r>
    </w:p>
    <w:p w:rsidR="00DD5B1A" w:rsidRDefault="00DD5B1A">
      <w:pPr>
        <w:divId w:val="1531064940"/>
      </w:pPr>
      <w:r>
        <w:rPr>
          <w:rFonts w:ascii="Verdana" w:hAnsi="Verdana"/>
          <w:color w:val="555555"/>
          <w:sz w:val="17"/>
          <w:szCs w:val="17"/>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DD5B1A" w:rsidRDefault="00DD5B1A">
      <w:pPr>
        <w:pStyle w:val="Heading2"/>
        <w:divId w:val="1531064940"/>
      </w:pPr>
      <w:r>
        <w:rPr>
          <w:color w:val="000000"/>
          <w:sz w:val="32"/>
          <w:szCs w:val="32"/>
        </w:rPr>
        <w:t xml:space="preserve">II. </w:t>
      </w:r>
      <w:proofErr w:type="gramStart"/>
      <w:r>
        <w:rPr>
          <w:color w:val="000000"/>
          <w:sz w:val="32"/>
          <w:szCs w:val="32"/>
        </w:rPr>
        <w:t>About</w:t>
      </w:r>
      <w:proofErr w:type="gramEnd"/>
      <w:r>
        <w:rPr>
          <w:color w:val="000000"/>
          <w:sz w:val="32"/>
          <w:szCs w:val="32"/>
        </w:rPr>
        <w:t xml:space="preserve"> This School</w:t>
      </w:r>
    </w:p>
    <w:p w:rsidR="00DD5B1A" w:rsidRDefault="00DD5B1A">
      <w:pPr>
        <w:pStyle w:val="Heading4"/>
        <w:divId w:val="1531064940"/>
      </w:pPr>
      <w:r>
        <w:rPr>
          <w:color w:val="000000"/>
          <w:sz w:val="23"/>
          <w:szCs w:val="23"/>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95"/>
        <w:gridCol w:w="3028"/>
        <w:gridCol w:w="1640"/>
        <w:gridCol w:w="3129"/>
      </w:tblGrid>
      <w:tr w:rsidR="00DD5B1A">
        <w:trPr>
          <w:divId w:val="1531064940"/>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rPr>
                <w:sz w:val="2"/>
              </w:rPr>
            </w:pPr>
            <w:r w:rsidRPr="003626FA">
              <w:rPr>
                <w:rFonts w:ascii="Verdana" w:hAnsi="Verdana"/>
                <w:b/>
                <w:bCs/>
                <w:color w:val="FFFFFF"/>
                <w:sz w:val="18"/>
                <w:szCs w:val="18"/>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rPr>
                <w:sz w:val="2"/>
              </w:rPr>
            </w:pPr>
            <w:r w:rsidRPr="003626FA">
              <w:rPr>
                <w:rFonts w:ascii="Verdana" w:hAnsi="Verdana"/>
                <w:b/>
                <w:bCs/>
                <w:color w:val="FFFFFF"/>
                <w:sz w:val="18"/>
                <w:szCs w:val="18"/>
                <w:shd w:val="clear" w:color="auto" w:fill="1A4678"/>
              </w:rPr>
              <w:t>District</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Mark Keppel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Unified</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501 East Hellman Ave.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(626) 943-3000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CA, 91801-5716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www.ausd.us</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626-943-6700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Donna Perez</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Grace Love,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perez_donna@alhambra.k12.ca.us</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Love_Grace@alhambra.k12.ca.us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19757131934553</w:t>
            </w:r>
          </w:p>
        </w:tc>
      </w:tr>
    </w:tbl>
    <w:p w:rsidR="00DD5B1A" w:rsidRDefault="00DD5B1A">
      <w:pPr>
        <w:divId w:val="1531064940"/>
      </w:pPr>
    </w:p>
    <w:p w:rsidR="00486BFA" w:rsidRDefault="00486BFA">
      <w:pPr>
        <w:pStyle w:val="Heading4"/>
        <w:divId w:val="1531064940"/>
        <w:rPr>
          <w:color w:val="000000"/>
          <w:sz w:val="23"/>
          <w:szCs w:val="23"/>
        </w:rPr>
      </w:pPr>
    </w:p>
    <w:p w:rsidR="00DD5B1A" w:rsidRDefault="00DD5B1A">
      <w:pPr>
        <w:pStyle w:val="Heading4"/>
        <w:divId w:val="1531064940"/>
      </w:pPr>
      <w:r>
        <w:rPr>
          <w:color w:val="000000"/>
          <w:sz w:val="23"/>
          <w:szCs w:val="23"/>
        </w:rPr>
        <w:lastRenderedPageBreak/>
        <w:t>School Description and Mission Statement (School Year 2010–11)</w:t>
      </w:r>
    </w:p>
    <w:tbl>
      <w:tblPr>
        <w:tblW w:w="0" w:type="auto"/>
        <w:tblLook w:val="04A0"/>
      </w:tblPr>
      <w:tblGrid>
        <w:gridCol w:w="10920"/>
      </w:tblGrid>
      <w:tr w:rsidR="00DD5B1A">
        <w:trPr>
          <w:divId w:val="153106494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Arial" w:hAnsi="Arial" w:cs="Arial"/>
                <w:color w:val="000000"/>
                <w:sz w:val="18"/>
                <w:szCs w:val="18"/>
              </w:rPr>
              <w:t>The Mark Keppel learning community is committed to helping students graduate as self-confident, ethical, resourceful life-long learners in a global society who communicate effectively, think critically and solve problems, work independently and interdependently within the school community, use available technology as a tool, and demonstrate responsible citizenship.</w:t>
            </w:r>
          </w:p>
        </w:tc>
      </w:tr>
    </w:tbl>
    <w:p w:rsidR="00DD5B1A" w:rsidRDefault="00DD5B1A">
      <w:pPr>
        <w:divId w:val="1531064940"/>
      </w:pPr>
    </w:p>
    <w:p w:rsidR="00DD5B1A" w:rsidRDefault="00DD5B1A">
      <w:pPr>
        <w:pStyle w:val="Heading4"/>
        <w:divId w:val="1531064940"/>
      </w:pPr>
      <w:r>
        <w:rPr>
          <w:color w:val="000000"/>
          <w:sz w:val="23"/>
          <w:szCs w:val="23"/>
        </w:rPr>
        <w:t>Opportunities for Parental Involvement (School Year 2010–11)</w:t>
      </w:r>
    </w:p>
    <w:tbl>
      <w:tblPr>
        <w:tblW w:w="0" w:type="auto"/>
        <w:tblLook w:val="04A0"/>
      </w:tblPr>
      <w:tblGrid>
        <w:gridCol w:w="10920"/>
      </w:tblGrid>
      <w:tr w:rsidR="00DD5B1A">
        <w:trPr>
          <w:divId w:val="153106494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DD5B1A" w:rsidRDefault="00DD5B1A">
            <w:pPr>
              <w:pStyle w:val="NormalWeb"/>
              <w:spacing w:before="0" w:beforeAutospacing="0" w:after="0" w:afterAutospacing="0"/>
              <w:ind w:left="20" w:right="20"/>
            </w:pPr>
            <w:r>
              <w:rPr>
                <w:rFonts w:ascii="Arial" w:hAnsi="Arial" w:cs="Arial"/>
                <w:color w:val="000000"/>
                <w:sz w:val="18"/>
                <w:szCs w:val="18"/>
              </w:rPr>
              <w:t>Parents participate on various committees that make decisions regarding the priorities and direction of the educational plan to ensure instructional programs are consistent with students’ needs and comply with the District’s goals.  These committees include: Parent Teacher Student Association (PTSA), Keppel Alliance, English Language Advisory Council (ELAC), School Advisory Council (SAC), and School Site Council (SSC).  Parents are also encouraged to volunteer on campus and participate in school-wide events.  The school keeps parents informed of activities through newsletters, email, and telephone calls delivered in the families’ home language.</w:t>
            </w:r>
          </w:p>
          <w:p w:rsidR="00DD5B1A" w:rsidRPr="003626FA" w:rsidRDefault="00DD5B1A"/>
          <w:p w:rsidR="00DD5B1A" w:rsidRDefault="00DD5B1A">
            <w:pPr>
              <w:pStyle w:val="NormalWeb"/>
              <w:spacing w:before="0" w:beforeAutospacing="0" w:after="0" w:afterAutospacing="0" w:line="0" w:lineRule="atLeast"/>
              <w:ind w:left="20" w:right="20"/>
            </w:pPr>
            <w:r>
              <w:rPr>
                <w:rFonts w:ascii="Arial" w:hAnsi="Arial" w:cs="Arial"/>
                <w:color w:val="000000"/>
                <w:sz w:val="18"/>
                <w:szCs w:val="18"/>
              </w:rPr>
              <w:t>The Alhambra Unified School District sponsors the Kindergarten through College project that is designed to educate parents about the importance of preparing for college, starting with students in Kindergarten.  The program a few nights of parent training that include topics such as introduction to the college system, applying to college, financial aid, and saving for college.</w:t>
            </w:r>
          </w:p>
        </w:tc>
      </w:tr>
    </w:tbl>
    <w:p w:rsidR="00DD5B1A" w:rsidRDefault="00DD5B1A">
      <w:pPr>
        <w:divId w:val="1531064940"/>
      </w:pPr>
    </w:p>
    <w:p w:rsidR="00DD5B1A" w:rsidRDefault="00DD5B1A">
      <w:pPr>
        <w:pStyle w:val="Heading4"/>
        <w:divId w:val="1531064940"/>
      </w:pPr>
      <w:r>
        <w:rPr>
          <w:color w:val="000000"/>
          <w:sz w:val="23"/>
          <w:szCs w:val="23"/>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15"/>
        <w:gridCol w:w="2230"/>
        <w:gridCol w:w="2232"/>
        <w:gridCol w:w="2230"/>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621</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645</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599</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587</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2,452</w:t>
            </w:r>
          </w:p>
        </w:tc>
      </w:tr>
    </w:tbl>
    <w:p w:rsidR="00DD5B1A" w:rsidRDefault="00DD5B1A">
      <w:pPr>
        <w:divId w:val="1531064940"/>
      </w:pPr>
    </w:p>
    <w:p w:rsidR="00DD5B1A" w:rsidRDefault="00DD5B1A">
      <w:pPr>
        <w:pStyle w:val="Heading4"/>
        <w:divId w:val="1531064940"/>
      </w:pPr>
      <w:r>
        <w:rPr>
          <w:color w:val="000000"/>
          <w:sz w:val="23"/>
          <w:szCs w:val="23"/>
        </w:rPr>
        <w:t>Student Enrollment by Subgroup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2979"/>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Total Enrollment</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70.6%</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22.8%</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64.6%</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41.7%</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bl>
    <w:p w:rsidR="00DD5B1A" w:rsidRDefault="00DD5B1A">
      <w:pPr>
        <w:divId w:val="1531064940"/>
      </w:pPr>
      <w:r>
        <w:br/>
      </w:r>
    </w:p>
    <w:p w:rsidR="00DD5B1A" w:rsidRDefault="00DD5B1A">
      <w:pPr>
        <w:pStyle w:val="Heading4"/>
        <w:divId w:val="1531064940"/>
      </w:pPr>
      <w:r>
        <w:rPr>
          <w:color w:val="000000"/>
          <w:sz w:val="23"/>
          <w:szCs w:val="23"/>
        </w:rPr>
        <w:lastRenderedPageBreak/>
        <w:t>Average Class Size and Class Size Distribution (Secondary)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8"/>
        <w:gridCol w:w="1100"/>
        <w:gridCol w:w="632"/>
        <w:gridCol w:w="757"/>
        <w:gridCol w:w="690"/>
        <w:gridCol w:w="1100"/>
        <w:gridCol w:w="632"/>
        <w:gridCol w:w="757"/>
        <w:gridCol w:w="690"/>
        <w:gridCol w:w="1100"/>
        <w:gridCol w:w="632"/>
        <w:gridCol w:w="757"/>
        <w:gridCol w:w="690"/>
      </w:tblGrid>
      <w:tr w:rsidR="00DD5B1A">
        <w:trPr>
          <w:divId w:val="153106494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rPr>
                <w:sz w:val="2"/>
              </w:rPr>
            </w:pPr>
            <w:r w:rsidRPr="003626FA">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rPr>
                <w:sz w:val="2"/>
              </w:rPr>
            </w:pPr>
            <w:r w:rsidRPr="003626FA">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rPr>
                <w:sz w:val="2"/>
              </w:rPr>
            </w:pPr>
            <w:r w:rsidRPr="003626FA">
              <w:rPr>
                <w:rFonts w:ascii="Verdana" w:hAnsi="Verdana"/>
                <w:b/>
                <w:bCs/>
                <w:color w:val="FFFFFF"/>
                <w:sz w:val="18"/>
                <w:szCs w:val="18"/>
                <w:shd w:val="clear" w:color="auto" w:fill="1A4678"/>
              </w:rPr>
              <w:t>2010–11 Number of Classes*</w:t>
            </w:r>
          </w:p>
        </w:tc>
      </w:tr>
      <w:tr w:rsidR="00DD5B1A">
        <w:trPr>
          <w:divId w:val="15310649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5B1A" w:rsidRDefault="00DD5B1A"/>
        </w:tc>
        <w:tc>
          <w:tcPr>
            <w:tcW w:w="0" w:type="auto"/>
            <w:vMerge/>
            <w:tcBorders>
              <w:top w:val="single" w:sz="4" w:space="0" w:color="auto"/>
              <w:left w:val="single" w:sz="4" w:space="0" w:color="auto"/>
              <w:bottom w:val="single" w:sz="4" w:space="0" w:color="auto"/>
              <w:right w:val="single" w:sz="4" w:space="0" w:color="auto"/>
            </w:tcBorders>
            <w:vAlign w:val="center"/>
            <w:hideMark/>
          </w:tcPr>
          <w:p w:rsidR="00DD5B1A" w:rsidRDefault="00DD5B1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D5B1A" w:rsidRDefault="00DD5B1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D5B1A" w:rsidRDefault="00DD5B1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36.94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30.1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36.94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24.08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33.4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41</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25.74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36</w:t>
            </w:r>
          </w:p>
        </w:tc>
      </w:tr>
    </w:tbl>
    <w:p w:rsidR="00DD5B1A" w:rsidRDefault="00DD5B1A">
      <w:pPr>
        <w:divId w:val="1531064940"/>
      </w:pPr>
      <w:r>
        <w:br/>
      </w:r>
      <w:r>
        <w:rPr>
          <w:rFonts w:ascii="Verdana" w:hAnsi="Verdana"/>
          <w:color w:val="555555"/>
          <w:sz w:val="17"/>
          <w:szCs w:val="17"/>
        </w:rPr>
        <w:t>* Number of classes indicates how many classrooms fall into each size category (a range of total students per classroom). At the secondary school level, this information is reported by subject area rather than grade level.</w:t>
      </w:r>
    </w:p>
    <w:p w:rsidR="00DD5B1A" w:rsidRDefault="00DD5B1A">
      <w:pPr>
        <w:pStyle w:val="Heading2"/>
        <w:divId w:val="1531064940"/>
      </w:pPr>
      <w:r>
        <w:rPr>
          <w:color w:val="000000"/>
          <w:sz w:val="32"/>
          <w:szCs w:val="32"/>
        </w:rPr>
        <w:t>III. School Climate</w:t>
      </w:r>
    </w:p>
    <w:p w:rsidR="00DD5B1A" w:rsidRDefault="00DD5B1A">
      <w:pPr>
        <w:pStyle w:val="Heading4"/>
        <w:divId w:val="1531064940"/>
      </w:pPr>
      <w:r>
        <w:rPr>
          <w:color w:val="000000"/>
          <w:sz w:val="23"/>
          <w:szCs w:val="23"/>
        </w:rPr>
        <w:t>School Safety Plan (School Year 2010–11)</w:t>
      </w:r>
    </w:p>
    <w:tbl>
      <w:tblPr>
        <w:tblW w:w="0" w:type="auto"/>
        <w:tblLook w:val="04A0"/>
      </w:tblPr>
      <w:tblGrid>
        <w:gridCol w:w="10920"/>
      </w:tblGrid>
      <w:tr w:rsidR="00DD5B1A">
        <w:trPr>
          <w:divId w:val="153106494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DD5B1A" w:rsidRDefault="00DD5B1A">
            <w:pPr>
              <w:widowControl w:val="0"/>
              <w:autoSpaceDE w:val="0"/>
              <w:autoSpaceDN w:val="0"/>
              <w:adjustRightInd w:val="0"/>
              <w:rPr>
                <w:color w:val="000000"/>
                <w:sz w:val="18"/>
              </w:rPr>
            </w:pPr>
            <w:r w:rsidRPr="003626FA">
              <w:rPr>
                <w:rFonts w:ascii="Arial" w:hAnsi="Arial" w:cs="Arial"/>
                <w:bCs/>
                <w:iCs/>
                <w:color w:val="000000"/>
                <w:sz w:val="18"/>
                <w:szCs w:val="28"/>
              </w:rPr>
              <w:t>The Safety of students and staff is a primary concern. The school complies with laws, rules, and regulations pertaining to hazardous materials and State earthquake standards. The school’s disaster drills are conducted regularly</w:t>
            </w:r>
            <w:r w:rsidRPr="003626FA">
              <w:rPr>
                <w:color w:val="000000"/>
                <w:sz w:val="18"/>
              </w:rPr>
              <w:t xml:space="preserve"> </w:t>
            </w:r>
            <w:r w:rsidRPr="003626FA">
              <w:rPr>
                <w:rFonts w:ascii="Arial" w:hAnsi="Arial" w:cs="Arial"/>
                <w:bCs/>
                <w:iCs/>
                <w:color w:val="000000"/>
                <w:sz w:val="18"/>
                <w:szCs w:val="28"/>
              </w:rPr>
              <w:t>throughout the school year. All visitors must check in at the school office and wear visitors’ badges while on school grounds.</w:t>
            </w:r>
            <w:r w:rsidRPr="003626FA">
              <w:rPr>
                <w:color w:val="000000"/>
                <w:sz w:val="18"/>
              </w:rPr>
              <w:t xml:space="preserve">  </w:t>
            </w:r>
            <w:r w:rsidRPr="003626FA">
              <w:rPr>
                <w:rFonts w:ascii="Arial" w:hAnsi="Arial" w:cs="Arial"/>
                <w:bCs/>
                <w:iCs/>
                <w:color w:val="000000"/>
                <w:sz w:val="18"/>
                <w:szCs w:val="28"/>
              </w:rPr>
              <w:t>During lunch, recesses, and before and after school, yard supervisors monitor students and</w:t>
            </w:r>
            <w:r w:rsidRPr="003626FA">
              <w:rPr>
                <w:color w:val="000000"/>
                <w:sz w:val="18"/>
              </w:rPr>
              <w:t xml:space="preserve"> </w:t>
            </w:r>
            <w:r w:rsidRPr="003626FA">
              <w:rPr>
                <w:rFonts w:ascii="Arial" w:hAnsi="Arial" w:cs="Arial"/>
                <w:bCs/>
                <w:iCs/>
                <w:color w:val="000000"/>
                <w:sz w:val="18"/>
                <w:szCs w:val="28"/>
              </w:rPr>
              <w:t>school grounds, including the cafeteria and playgrounds, to ensure a safe and orderly environment.</w:t>
            </w:r>
          </w:p>
          <w:p w:rsidR="00DD5B1A" w:rsidRPr="003626FA" w:rsidRDefault="00DD5B1A">
            <w:pPr>
              <w:widowControl w:val="0"/>
              <w:autoSpaceDE w:val="0"/>
              <w:autoSpaceDN w:val="0"/>
              <w:adjustRightInd w:val="0"/>
              <w:rPr>
                <w:rFonts w:ascii="Arial" w:hAnsi="Arial" w:cs="Arial"/>
                <w:bCs/>
                <w:iCs/>
                <w:color w:val="000000"/>
                <w:sz w:val="18"/>
                <w:szCs w:val="28"/>
              </w:rPr>
            </w:pPr>
          </w:p>
          <w:p w:rsidR="00DD5B1A" w:rsidRDefault="00DD5B1A">
            <w:pPr>
              <w:widowControl w:val="0"/>
              <w:autoSpaceDE w:val="0"/>
              <w:autoSpaceDN w:val="0"/>
              <w:adjustRightInd w:val="0"/>
              <w:rPr>
                <w:color w:val="000000"/>
                <w:sz w:val="18"/>
              </w:rPr>
            </w:pPr>
            <w:r w:rsidRPr="003626FA">
              <w:rPr>
                <w:rFonts w:ascii="Arial" w:hAnsi="Arial" w:cs="Arial"/>
                <w:bCs/>
                <w:iCs/>
                <w:color w:val="000000"/>
                <w:sz w:val="18"/>
                <w:szCs w:val="28"/>
              </w:rPr>
              <w:t>The Comprehensive School Safety Plan was developed by the School Site Council in cooperation with local law enforcement in</w:t>
            </w:r>
            <w:r w:rsidRPr="003626FA">
              <w:rPr>
                <w:color w:val="000000"/>
                <w:sz w:val="18"/>
              </w:rPr>
              <w:t xml:space="preserve"> </w:t>
            </w:r>
            <w:r w:rsidRPr="003626FA">
              <w:rPr>
                <w:rFonts w:ascii="Arial" w:hAnsi="Arial" w:cs="Arial"/>
                <w:bCs/>
                <w:iCs/>
                <w:color w:val="000000"/>
                <w:sz w:val="18"/>
                <w:szCs w:val="28"/>
              </w:rPr>
              <w:t>order to comply with Senate Bill 187 of 1997. The plan provides students and staff a means to ensure a safe and orderly learning</w:t>
            </w:r>
            <w:r w:rsidRPr="003626FA">
              <w:rPr>
                <w:color w:val="000000"/>
                <w:sz w:val="18"/>
              </w:rPr>
              <w:t xml:space="preserve"> </w:t>
            </w:r>
            <w:r w:rsidRPr="003626FA">
              <w:rPr>
                <w:rFonts w:ascii="Arial" w:hAnsi="Arial" w:cs="Arial"/>
                <w:bCs/>
                <w:iCs/>
                <w:color w:val="000000"/>
                <w:sz w:val="18"/>
                <w:szCs w:val="28"/>
              </w:rPr>
              <w:t>environment. Components of the Comprehensive School Safety Plan include child abuse reporting procedures, teacher</w:t>
            </w:r>
            <w:r w:rsidRPr="003626FA">
              <w:rPr>
                <w:color w:val="000000"/>
                <w:sz w:val="18"/>
              </w:rPr>
              <w:t xml:space="preserve"> </w:t>
            </w:r>
            <w:r w:rsidRPr="003626FA">
              <w:rPr>
                <w:rFonts w:ascii="Arial" w:hAnsi="Arial" w:cs="Arial"/>
                <w:bCs/>
                <w:iCs/>
                <w:color w:val="000000"/>
                <w:sz w:val="18"/>
                <w:szCs w:val="28"/>
              </w:rPr>
              <w:t xml:space="preserve">notification of dangerous </w:t>
            </w:r>
            <w:proofErr w:type="gramStart"/>
            <w:r w:rsidRPr="003626FA">
              <w:rPr>
                <w:rFonts w:ascii="Arial" w:hAnsi="Arial" w:cs="Arial"/>
                <w:bCs/>
                <w:iCs/>
                <w:color w:val="000000"/>
                <w:sz w:val="18"/>
                <w:szCs w:val="28"/>
              </w:rPr>
              <w:t>pupils</w:t>
            </w:r>
            <w:proofErr w:type="gramEnd"/>
            <w:r w:rsidRPr="003626FA">
              <w:rPr>
                <w:rFonts w:ascii="Arial" w:hAnsi="Arial" w:cs="Arial"/>
                <w:bCs/>
                <w:iCs/>
                <w:color w:val="000000"/>
                <w:sz w:val="18"/>
                <w:szCs w:val="28"/>
              </w:rPr>
              <w:t xml:space="preserve"> procedures, disaster response procedures, procedures for safe ingress and egress from school,</w:t>
            </w:r>
            <w:r w:rsidRPr="003626FA">
              <w:rPr>
                <w:color w:val="000000"/>
                <w:sz w:val="18"/>
              </w:rPr>
              <w:t xml:space="preserve"> </w:t>
            </w:r>
            <w:r w:rsidRPr="003626FA">
              <w:rPr>
                <w:rFonts w:ascii="Arial" w:hAnsi="Arial" w:cs="Arial"/>
                <w:bCs/>
                <w:iCs/>
                <w:color w:val="000000"/>
                <w:sz w:val="18"/>
                <w:szCs w:val="28"/>
              </w:rPr>
              <w:t>sexual harassment policy, and suspension and expulsion policies. The School Site Council evaluates the plan annually and</w:t>
            </w:r>
            <w:r w:rsidRPr="003626FA">
              <w:rPr>
                <w:color w:val="000000"/>
                <w:sz w:val="18"/>
              </w:rPr>
              <w:t xml:space="preserve"> </w:t>
            </w:r>
            <w:r w:rsidRPr="003626FA">
              <w:rPr>
                <w:rFonts w:ascii="Arial" w:hAnsi="Arial" w:cs="Arial"/>
                <w:bCs/>
                <w:iCs/>
                <w:color w:val="000000"/>
                <w:sz w:val="18"/>
                <w:szCs w:val="28"/>
              </w:rPr>
              <w:t>updates the plan as needed. The plan was last updated and reviewed with school staff in March 2010. An updated copy is</w:t>
            </w:r>
            <w:r w:rsidRPr="003626FA">
              <w:rPr>
                <w:color w:val="000000"/>
                <w:sz w:val="18"/>
              </w:rPr>
              <w:t xml:space="preserve"> </w:t>
            </w:r>
            <w:r w:rsidRPr="003626FA">
              <w:rPr>
                <w:rFonts w:ascii="Arial" w:hAnsi="Arial" w:cs="Arial"/>
                <w:bCs/>
                <w:iCs/>
                <w:color w:val="000000"/>
                <w:sz w:val="18"/>
                <w:szCs w:val="28"/>
              </w:rPr>
              <w:t>available to the public at the school and district offices.</w:t>
            </w:r>
          </w:p>
        </w:tc>
      </w:tr>
    </w:tbl>
    <w:p w:rsidR="00DD5B1A" w:rsidRDefault="00DD5B1A">
      <w:pPr>
        <w:divId w:val="1531064940"/>
      </w:pPr>
    </w:p>
    <w:p w:rsidR="00DD5B1A" w:rsidRDefault="00DD5B1A">
      <w:pPr>
        <w:pStyle w:val="Heading4"/>
        <w:divId w:val="1531064940"/>
      </w:pPr>
      <w:r>
        <w:rPr>
          <w:color w:val="000000"/>
          <w:sz w:val="23"/>
          <w:szCs w:val="23"/>
        </w:rPr>
        <w:t>Suspensions and Expulsions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5"/>
        <w:gridCol w:w="1561"/>
        <w:gridCol w:w="1560"/>
        <w:gridCol w:w="1560"/>
        <w:gridCol w:w="1628"/>
        <w:gridCol w:w="1628"/>
        <w:gridCol w:w="1628"/>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Rate*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Suspensions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2.35%</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Expulsions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0.30%</w:t>
            </w:r>
          </w:p>
        </w:tc>
      </w:tr>
    </w:tbl>
    <w:p w:rsidR="00DD5B1A" w:rsidRDefault="00DD5B1A">
      <w:pPr>
        <w:divId w:val="1531064940"/>
      </w:pPr>
      <w:r>
        <w:br/>
      </w:r>
      <w:r>
        <w:rPr>
          <w:rFonts w:ascii="Verdana" w:hAnsi="Verdana"/>
          <w:color w:val="555555"/>
          <w:sz w:val="17"/>
          <w:szCs w:val="17"/>
        </w:rPr>
        <w:t>* The rate of suspensions and expulsions is calculated by dividing the total number of incidents by the total enrollment.</w:t>
      </w:r>
    </w:p>
    <w:p w:rsidR="00486BFA" w:rsidRDefault="00486BFA">
      <w:pPr>
        <w:pStyle w:val="Heading2"/>
        <w:divId w:val="1531064940"/>
        <w:rPr>
          <w:color w:val="000000"/>
          <w:sz w:val="32"/>
          <w:szCs w:val="32"/>
        </w:rPr>
      </w:pPr>
    </w:p>
    <w:p w:rsidR="00486BFA" w:rsidRDefault="00486BFA">
      <w:pPr>
        <w:pStyle w:val="Heading2"/>
        <w:divId w:val="1531064940"/>
        <w:rPr>
          <w:color w:val="000000"/>
          <w:sz w:val="32"/>
          <w:szCs w:val="32"/>
        </w:rPr>
      </w:pPr>
    </w:p>
    <w:p w:rsidR="00486BFA" w:rsidRDefault="00486BFA">
      <w:pPr>
        <w:pStyle w:val="Heading2"/>
        <w:divId w:val="1531064940"/>
        <w:rPr>
          <w:color w:val="000000"/>
          <w:sz w:val="32"/>
          <w:szCs w:val="32"/>
        </w:rPr>
      </w:pPr>
    </w:p>
    <w:p w:rsidR="00486BFA" w:rsidRDefault="00486BFA">
      <w:pPr>
        <w:pStyle w:val="Heading2"/>
        <w:divId w:val="1531064940"/>
        <w:rPr>
          <w:color w:val="000000"/>
          <w:sz w:val="32"/>
          <w:szCs w:val="32"/>
        </w:rPr>
      </w:pPr>
    </w:p>
    <w:p w:rsidR="00486BFA" w:rsidRDefault="00486BFA">
      <w:pPr>
        <w:pStyle w:val="Heading2"/>
        <w:divId w:val="1531064940"/>
        <w:rPr>
          <w:color w:val="000000"/>
          <w:sz w:val="32"/>
          <w:szCs w:val="32"/>
        </w:rPr>
      </w:pPr>
    </w:p>
    <w:p w:rsidR="00486BFA" w:rsidRDefault="00486BFA">
      <w:pPr>
        <w:pStyle w:val="Heading2"/>
        <w:divId w:val="1531064940"/>
        <w:rPr>
          <w:color w:val="000000"/>
          <w:sz w:val="32"/>
          <w:szCs w:val="32"/>
        </w:rPr>
      </w:pPr>
    </w:p>
    <w:p w:rsidR="00486BFA" w:rsidRDefault="00486BFA">
      <w:pPr>
        <w:pStyle w:val="Heading2"/>
        <w:divId w:val="1531064940"/>
        <w:rPr>
          <w:color w:val="000000"/>
          <w:sz w:val="32"/>
          <w:szCs w:val="32"/>
        </w:rPr>
      </w:pPr>
    </w:p>
    <w:p w:rsidR="00486BFA" w:rsidRDefault="00486BFA">
      <w:pPr>
        <w:pStyle w:val="Heading2"/>
        <w:divId w:val="1531064940"/>
        <w:rPr>
          <w:color w:val="000000"/>
          <w:sz w:val="32"/>
          <w:szCs w:val="32"/>
        </w:rPr>
      </w:pPr>
    </w:p>
    <w:p w:rsidR="00486BFA" w:rsidRDefault="00486BFA">
      <w:pPr>
        <w:pStyle w:val="Heading2"/>
        <w:divId w:val="1531064940"/>
        <w:rPr>
          <w:color w:val="000000"/>
          <w:sz w:val="32"/>
          <w:szCs w:val="32"/>
        </w:rPr>
      </w:pPr>
    </w:p>
    <w:p w:rsidR="00486BFA" w:rsidRDefault="00486BFA">
      <w:pPr>
        <w:pStyle w:val="Heading2"/>
        <w:divId w:val="1531064940"/>
        <w:rPr>
          <w:color w:val="000000"/>
          <w:sz w:val="32"/>
          <w:szCs w:val="32"/>
        </w:rPr>
      </w:pPr>
    </w:p>
    <w:p w:rsidR="00486BFA" w:rsidRDefault="00486BFA">
      <w:pPr>
        <w:pStyle w:val="Heading2"/>
        <w:divId w:val="1531064940"/>
        <w:rPr>
          <w:color w:val="000000"/>
          <w:sz w:val="32"/>
          <w:szCs w:val="32"/>
        </w:rPr>
      </w:pPr>
    </w:p>
    <w:p w:rsidR="00DD5B1A" w:rsidRDefault="00DD5B1A">
      <w:pPr>
        <w:pStyle w:val="Heading2"/>
        <w:divId w:val="1531064940"/>
      </w:pPr>
      <w:r>
        <w:rPr>
          <w:color w:val="000000"/>
          <w:sz w:val="32"/>
          <w:szCs w:val="32"/>
        </w:rPr>
        <w:lastRenderedPageBreak/>
        <w:t>IV. School Facilities</w:t>
      </w:r>
    </w:p>
    <w:p w:rsidR="00DD5B1A" w:rsidRDefault="00DD5B1A">
      <w:pPr>
        <w:pStyle w:val="Heading4"/>
        <w:divId w:val="1531064940"/>
      </w:pPr>
      <w:r>
        <w:rPr>
          <w:color w:val="000000"/>
          <w:sz w:val="23"/>
          <w:szCs w:val="23"/>
        </w:rPr>
        <w:t>School Facility Conditions and Planned Improvements (School Year 2011–12)</w:t>
      </w:r>
    </w:p>
    <w:tbl>
      <w:tblPr>
        <w:tblW w:w="0" w:type="auto"/>
        <w:tblLook w:val="04A0"/>
      </w:tblPr>
      <w:tblGrid>
        <w:gridCol w:w="10920"/>
      </w:tblGrid>
      <w:tr w:rsidR="00DD5B1A">
        <w:trPr>
          <w:divId w:val="153106494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DD5B1A" w:rsidRDefault="00DD5B1A">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Renovations and improvements are being planned for several locations on the campus by the District’s Construction &amp; Facilities team.  Details will be available as the school year progresses.</w:t>
            </w:r>
          </w:p>
        </w:tc>
      </w:tr>
    </w:tbl>
    <w:p w:rsidR="00DD5B1A" w:rsidRDefault="00DD5B1A">
      <w:pPr>
        <w:divId w:val="1531064940"/>
      </w:pPr>
    </w:p>
    <w:p w:rsidR="00DD5B1A" w:rsidRDefault="00DD5B1A">
      <w:pPr>
        <w:pStyle w:val="Heading4"/>
        <w:divId w:val="1531064940"/>
      </w:pPr>
      <w:r>
        <w:rPr>
          <w:color w:val="000000"/>
          <w:sz w:val="23"/>
          <w:szCs w:val="23"/>
        </w:rPr>
        <w:t>School Facility Good Repair Status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29"/>
        <w:gridCol w:w="1179"/>
        <w:gridCol w:w="661"/>
        <w:gridCol w:w="537"/>
        <w:gridCol w:w="613"/>
        <w:gridCol w:w="3701"/>
      </w:tblGrid>
      <w:tr w:rsidR="00DD5B1A">
        <w:trPr>
          <w:divId w:val="153106494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System Inspected</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rPr>
                <w:sz w:val="2"/>
              </w:rPr>
            </w:pPr>
            <w:r w:rsidRPr="003626FA">
              <w:rPr>
                <w:rFonts w:ascii="Verdana" w:hAnsi="Verdana"/>
                <w:b/>
                <w:bCs/>
                <w:color w:val="FFFFFF"/>
                <w:sz w:val="18"/>
                <w:szCs w:val="18"/>
                <w:shd w:val="clear" w:color="auto" w:fill="1A4678"/>
              </w:rPr>
              <w:t>Repair Status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Repair Needed and Action Taken or Planned</w:t>
            </w:r>
          </w:p>
        </w:tc>
      </w:tr>
      <w:tr w:rsidR="00DD5B1A">
        <w:trPr>
          <w:divId w:val="15310649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5B1A" w:rsidRDefault="00DD5B1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Exemplary</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Good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Fair</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Poor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D5B1A" w:rsidRDefault="00DD5B1A"/>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Systems: </w:t>
            </w:r>
            <w:r>
              <w:rPr>
                <w:rFonts w:ascii="Verdana" w:hAnsi="Verdana"/>
                <w:color w:val="666699"/>
                <w:sz w:val="17"/>
                <w:szCs w:val="17"/>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Interior: </w:t>
            </w:r>
            <w:r>
              <w:rPr>
                <w:rFonts w:ascii="Verdana" w:hAnsi="Verdana"/>
                <w:color w:val="666699"/>
                <w:sz w:val="17"/>
                <w:szCs w:val="17"/>
                <w:shd w:val="clear" w:color="auto" w:fill="FFFFCC"/>
              </w:rPr>
              <w:t>Interior Surfaces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Some areas in the gym need patching, painting and ceiling tiles replaced.</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Cleanliness: </w:t>
            </w:r>
            <w:r>
              <w:rPr>
                <w:rFonts w:ascii="Verdana" w:hAnsi="Verdana"/>
                <w:color w:val="666699"/>
                <w:sz w:val="17"/>
                <w:szCs w:val="17"/>
                <w:shd w:val="clear" w:color="auto" w:fill="FFFFCC"/>
              </w:rPr>
              <w:t>Overall Cleanliness, Pest/ Vermin Infestation</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Electrical: </w:t>
            </w:r>
            <w:r>
              <w:rPr>
                <w:rFonts w:ascii="Verdana" w:hAnsi="Verdana"/>
                <w:color w:val="666699"/>
                <w:sz w:val="17"/>
                <w:szCs w:val="17"/>
                <w:shd w:val="clear" w:color="auto" w:fill="FFFFCC"/>
              </w:rPr>
              <w:t>Electrical</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Restrooms/Fountains: </w:t>
            </w:r>
            <w:r>
              <w:rPr>
                <w:rFonts w:ascii="Verdana" w:hAnsi="Verdana"/>
                <w:color w:val="666699"/>
                <w:sz w:val="17"/>
                <w:szCs w:val="17"/>
                <w:shd w:val="clear" w:color="auto" w:fill="FFFFCC"/>
              </w:rPr>
              <w:t>Restrooms, Sinks/ Fountains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Minor plumbing repairs needed in several areas</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Safety: </w:t>
            </w:r>
            <w:r>
              <w:rPr>
                <w:rFonts w:ascii="Verdana" w:hAnsi="Verdana"/>
                <w:color w:val="666699"/>
                <w:sz w:val="17"/>
                <w:szCs w:val="17"/>
                <w:shd w:val="clear" w:color="auto" w:fill="FFFFCC"/>
              </w:rPr>
              <w:t>Fire Safety, Hazardous Materials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Structural: </w:t>
            </w:r>
            <w:r>
              <w:rPr>
                <w:rFonts w:ascii="Verdana" w:hAnsi="Verdana"/>
                <w:color w:val="666699"/>
                <w:sz w:val="17"/>
                <w:szCs w:val="17"/>
                <w:shd w:val="clear" w:color="auto" w:fill="FFFFCC"/>
              </w:rPr>
              <w:t>Structural Damage, Roofs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External: </w:t>
            </w:r>
            <w:r>
              <w:rPr>
                <w:rFonts w:ascii="Verdana" w:hAnsi="Verdana"/>
                <w:color w:val="666699"/>
                <w:sz w:val="17"/>
                <w:szCs w:val="17"/>
                <w:shd w:val="clear" w:color="auto" w:fill="FFFFCC"/>
              </w:rPr>
              <w:t>Playground/School Grounds, Windows/ Doors/Gates/Fences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Sections of the athletic field fence and grounds need to be repaired.</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Overall Rating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vAlign w:val="center"/>
            <w:hideMark/>
          </w:tcPr>
          <w:p w:rsidR="00DD5B1A" w:rsidRDefault="00DD5B1A">
            <w:pPr>
              <w:rPr>
                <w:sz w:val="20"/>
                <w:szCs w:val="20"/>
              </w:rPr>
            </w:pPr>
          </w:p>
        </w:tc>
      </w:tr>
    </w:tbl>
    <w:p w:rsidR="00DD5B1A" w:rsidRDefault="00DD5B1A">
      <w:pPr>
        <w:divId w:val="1531064940"/>
      </w:pPr>
      <w:r>
        <w:br/>
      </w:r>
      <w:r>
        <w:rPr>
          <w:rFonts w:ascii="Verdana" w:hAnsi="Verdana"/>
          <w:color w:val="555555"/>
          <w:sz w:val="17"/>
          <w:szCs w:val="17"/>
        </w:rPr>
        <w:t>Note: Cells shaded in black do not require data.</w:t>
      </w:r>
    </w:p>
    <w:p w:rsidR="00DD5B1A" w:rsidRDefault="00DD5B1A">
      <w:pPr>
        <w:pStyle w:val="Heading2"/>
        <w:divId w:val="1531064940"/>
      </w:pPr>
      <w:r>
        <w:rPr>
          <w:color w:val="000000"/>
          <w:sz w:val="32"/>
          <w:szCs w:val="32"/>
        </w:rPr>
        <w:t>V. Teachers</w:t>
      </w:r>
    </w:p>
    <w:p w:rsidR="00DD5B1A" w:rsidRDefault="00DD5B1A">
      <w:pPr>
        <w:pStyle w:val="Heading4"/>
        <w:divId w:val="1531064940"/>
      </w:pPr>
      <w:r>
        <w:rPr>
          <w:color w:val="000000"/>
          <w:sz w:val="23"/>
          <w:szCs w:val="23"/>
        </w:rPr>
        <w:t>Teacher Credentials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35"/>
        <w:gridCol w:w="1505"/>
        <w:gridCol w:w="1504"/>
        <w:gridCol w:w="1504"/>
        <w:gridCol w:w="1572"/>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694</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Teaching Outside Subject Area of Competence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10</w:t>
            </w:r>
          </w:p>
        </w:tc>
      </w:tr>
    </w:tbl>
    <w:p w:rsidR="00DD5B1A" w:rsidRDefault="00DD5B1A">
      <w:pPr>
        <w:divId w:val="1531064940"/>
      </w:pPr>
    </w:p>
    <w:p w:rsidR="00DD5B1A" w:rsidRDefault="00DD5B1A">
      <w:pPr>
        <w:pStyle w:val="Heading4"/>
        <w:divId w:val="1531064940"/>
      </w:pPr>
      <w:r>
        <w:rPr>
          <w:color w:val="000000"/>
          <w:sz w:val="23"/>
          <w:szCs w:val="23"/>
        </w:rPr>
        <w:t xml:space="preserve">Teacher </w:t>
      </w:r>
      <w:proofErr w:type="spellStart"/>
      <w:r>
        <w:rPr>
          <w:color w:val="000000"/>
          <w:sz w:val="23"/>
          <w:szCs w:val="23"/>
        </w:rPr>
        <w:t>Misassignments</w:t>
      </w:r>
      <w:proofErr w:type="spellEnd"/>
      <w:r>
        <w:rPr>
          <w:color w:val="000000"/>
          <w:sz w:val="23"/>
          <w:szCs w:val="23"/>
        </w:rPr>
        <w:t xml:space="preserve"> and Vacant Teacher Positions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48"/>
        <w:gridCol w:w="1096"/>
        <w:gridCol w:w="1096"/>
        <w:gridCol w:w="1096"/>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2011–12</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Vacant Teacher Positions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18</w:t>
            </w:r>
          </w:p>
        </w:tc>
      </w:tr>
    </w:tbl>
    <w:p w:rsidR="00DD5B1A" w:rsidRDefault="00DD5B1A">
      <w:pPr>
        <w:divId w:val="1531064940"/>
      </w:pPr>
      <w:r>
        <w:br/>
      </w:r>
      <w:r>
        <w:rPr>
          <w:rFonts w:ascii="Verdana" w:hAnsi="Verdana"/>
          <w:color w:val="555555"/>
          <w:sz w:val="17"/>
          <w:szCs w:val="17"/>
        </w:rPr>
        <w:t>Note: “</w:t>
      </w:r>
      <w:proofErr w:type="spellStart"/>
      <w:r>
        <w:rPr>
          <w:rFonts w:ascii="Verdana" w:hAnsi="Verdana"/>
          <w:color w:val="555555"/>
          <w:sz w:val="17"/>
          <w:szCs w:val="17"/>
        </w:rPr>
        <w:t>Misassignments</w:t>
      </w:r>
      <w:proofErr w:type="spellEnd"/>
      <w:r>
        <w:rPr>
          <w:rFonts w:ascii="Verdana" w:hAnsi="Verdana"/>
          <w:color w:val="555555"/>
          <w:sz w:val="17"/>
          <w:szCs w:val="17"/>
        </w:rPr>
        <w:t>” refers to the number of positions filled by teachers who lack legal authorization to teach that grade level, subject area, student group, etc.</w:t>
      </w:r>
      <w:r>
        <w:br/>
      </w:r>
      <w:r>
        <w:br/>
      </w:r>
      <w:r>
        <w:rPr>
          <w:rFonts w:ascii="Verdana" w:hAnsi="Verdana"/>
          <w:color w:val="555555"/>
          <w:sz w:val="17"/>
          <w:szCs w:val="17"/>
        </w:rPr>
        <w:t xml:space="preserve">* </w:t>
      </w:r>
      <w:r>
        <w:rPr>
          <w:rFonts w:ascii="Verdana" w:hAnsi="Verdana"/>
          <w:i/>
          <w:iCs/>
          <w:color w:val="555555"/>
          <w:sz w:val="17"/>
          <w:szCs w:val="17"/>
        </w:rPr>
        <w:t xml:space="preserve">Total Teacher </w:t>
      </w:r>
      <w:proofErr w:type="spellStart"/>
      <w:r>
        <w:rPr>
          <w:rFonts w:ascii="Verdana" w:hAnsi="Verdana"/>
          <w:i/>
          <w:iCs/>
          <w:color w:val="555555"/>
          <w:sz w:val="17"/>
          <w:szCs w:val="17"/>
        </w:rPr>
        <w:t>Misassignments</w:t>
      </w:r>
      <w:proofErr w:type="spellEnd"/>
      <w:r>
        <w:rPr>
          <w:rFonts w:ascii="Verdana" w:hAnsi="Verdana"/>
          <w:color w:val="555555"/>
          <w:sz w:val="17"/>
          <w:szCs w:val="17"/>
        </w:rPr>
        <w:t xml:space="preserve"> includes the number of </w:t>
      </w:r>
      <w:proofErr w:type="spellStart"/>
      <w:r>
        <w:rPr>
          <w:rFonts w:ascii="Verdana" w:hAnsi="Verdana"/>
          <w:i/>
          <w:iCs/>
          <w:color w:val="555555"/>
          <w:sz w:val="17"/>
          <w:szCs w:val="17"/>
        </w:rPr>
        <w:t>Misassignments</w:t>
      </w:r>
      <w:proofErr w:type="spellEnd"/>
      <w:r>
        <w:rPr>
          <w:rFonts w:ascii="Verdana" w:hAnsi="Verdana"/>
          <w:i/>
          <w:iCs/>
          <w:color w:val="555555"/>
          <w:sz w:val="17"/>
          <w:szCs w:val="17"/>
        </w:rPr>
        <w:t xml:space="preserve"> of Teachers of English Learners</w:t>
      </w:r>
      <w:r>
        <w:rPr>
          <w:rFonts w:ascii="Verdana" w:hAnsi="Verdana"/>
          <w:color w:val="555555"/>
          <w:sz w:val="17"/>
          <w:szCs w:val="17"/>
        </w:rPr>
        <w:t>.</w:t>
      </w:r>
    </w:p>
    <w:p w:rsidR="00DD5B1A" w:rsidRDefault="00DD5B1A">
      <w:pPr>
        <w:pStyle w:val="Heading4"/>
        <w:divId w:val="1531064940"/>
      </w:pPr>
      <w:r>
        <w:rPr>
          <w:color w:val="000000"/>
          <w:sz w:val="23"/>
          <w:szCs w:val="23"/>
        </w:rPr>
        <w:lastRenderedPageBreak/>
        <w:t>Core Academic Classes Taught by Highly Qualified Teachers (School Year 2010–11)</w:t>
      </w:r>
    </w:p>
    <w:p w:rsidR="00DD5B1A" w:rsidRDefault="00DD5B1A">
      <w:pPr>
        <w:divId w:val="1531064940"/>
        <w:rPr>
          <w:rFonts w:ascii="Verdana" w:hAnsi="Verdana"/>
          <w:color w:val="555555"/>
          <w:sz w:val="17"/>
          <w:szCs w:val="17"/>
        </w:rPr>
      </w:pPr>
      <w:r>
        <w:rPr>
          <w:rFonts w:ascii="Verdana" w:hAnsi="Verdana"/>
          <w:color w:val="555555"/>
          <w:sz w:val="17"/>
          <w:szCs w:val="17"/>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7"/>
          <w:szCs w:val="17"/>
        </w:rPr>
        <w:t>Improving Teacher and Principal Quality</w:t>
      </w:r>
      <w:r>
        <w:rPr>
          <w:rFonts w:ascii="Verdana" w:hAnsi="Verdana"/>
          <w:color w:val="555555"/>
          <w:sz w:val="17"/>
          <w:szCs w:val="17"/>
        </w:rPr>
        <w:t xml:space="preserve"> Web page at:</w:t>
      </w:r>
      <w:r>
        <w:rPr>
          <w:rFonts w:ascii="Verdana" w:hAnsi="Verdana"/>
          <w:color w:val="000000"/>
          <w:sz w:val="17"/>
          <w:szCs w:val="17"/>
        </w:rPr>
        <w:t xml:space="preserve"> http://www.cde.ca.gov/nclb/sr/tq/</w:t>
      </w:r>
      <w:r>
        <w:rPr>
          <w:rFonts w:ascii="Verdana" w:hAnsi="Verdana"/>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5"/>
        <w:gridCol w:w="4362"/>
        <w:gridCol w:w="4543"/>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Pr="00486BFA" w:rsidRDefault="00DD5B1A">
            <w:pPr>
              <w:pStyle w:val="NormalWeb"/>
              <w:spacing w:before="0" w:beforeAutospacing="0" w:after="0" w:afterAutospacing="0" w:line="0" w:lineRule="atLeast"/>
              <w:ind w:left="40" w:right="40"/>
              <w:jc w:val="center"/>
              <w:rPr>
                <w:color w:val="FFFFFF"/>
              </w:rPr>
            </w:pPr>
            <w:r w:rsidRPr="00486BFA">
              <w:rPr>
                <w:b/>
                <w:bCs/>
                <w:color w:val="FFFFFF"/>
              </w:rPr>
              <w:t>Location of Classes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Taught by Highly Qualified 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Not Taught by Highly Qualified Teachers</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This School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99.66%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0.34%</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0.69%</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0.69%</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Low-Poverty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0.00%</w:t>
            </w:r>
          </w:p>
        </w:tc>
      </w:tr>
    </w:tbl>
    <w:p w:rsidR="00DD5B1A" w:rsidRDefault="00DD5B1A">
      <w:pPr>
        <w:divId w:val="1531064940"/>
        <w:rPr>
          <w:color w:val="555555"/>
        </w:rPr>
      </w:pPr>
      <w:r>
        <w:rPr>
          <w:color w:val="555555"/>
        </w:rPr>
        <w:br/>
      </w:r>
      <w:r>
        <w:rPr>
          <w:rFonts w:ascii="Verdana" w:hAnsi="Verdana"/>
          <w:color w:val="555555"/>
          <w:sz w:val="17"/>
          <w:szCs w:val="17"/>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DD5B1A" w:rsidRDefault="00DD5B1A">
      <w:pPr>
        <w:pStyle w:val="Heading2"/>
        <w:divId w:val="1531064940"/>
      </w:pPr>
      <w:r>
        <w:rPr>
          <w:color w:val="000000"/>
          <w:sz w:val="32"/>
          <w:szCs w:val="32"/>
        </w:rPr>
        <w:t>VI. Support Staff</w:t>
      </w:r>
    </w:p>
    <w:p w:rsidR="00DD5B1A" w:rsidRDefault="00DD5B1A">
      <w:pPr>
        <w:pStyle w:val="Heading4"/>
        <w:divId w:val="1531064940"/>
      </w:pPr>
      <w:r>
        <w:rPr>
          <w:color w:val="000000"/>
          <w:sz w:val="23"/>
          <w:szCs w:val="23"/>
        </w:rPr>
        <w:t>Academic Counselors and Other Support Staff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13"/>
        <w:gridCol w:w="2733"/>
        <w:gridCol w:w="3874"/>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Title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FTE* Assigned to 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Number of Students per Academic Counselor</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Academic Counselor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490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Counselor (Social/Behavioral or Career Development)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r>
      <w:tr w:rsidR="00DD5B1A">
        <w:trPr>
          <w:divId w:val="1531064940"/>
          <w:trHeight w:val="60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ind w:left="20" w:right="20"/>
            </w:pPr>
            <w:r>
              <w:rPr>
                <w:rFonts w:ascii="Verdana" w:hAnsi="Verdana"/>
                <w:b/>
                <w:bCs/>
                <w:color w:val="666699"/>
                <w:sz w:val="17"/>
                <w:szCs w:val="17"/>
                <w:shd w:val="clear" w:color="auto" w:fill="FFFFCC"/>
              </w:rPr>
              <w:t>Library Media Teacher (librarian)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Services Staff (paraprofessional)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Psychologist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Worker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Nurse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Speech/Language/Hearing Specialist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Resource Specialist (non-teaching)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r>
    </w:tbl>
    <w:p w:rsidR="00DD5B1A" w:rsidRDefault="00DD5B1A">
      <w:pPr>
        <w:divId w:val="1531064940"/>
        <w:rPr>
          <w:color w:val="555555"/>
        </w:rPr>
      </w:pPr>
      <w:r>
        <w:rPr>
          <w:color w:val="555555"/>
        </w:rPr>
        <w:br/>
      </w:r>
      <w:r>
        <w:rPr>
          <w:rFonts w:ascii="Verdana" w:hAnsi="Verdana"/>
          <w:color w:val="555555"/>
          <w:sz w:val="17"/>
          <w:szCs w:val="17"/>
        </w:rPr>
        <w:t>Note: Cells shaded in black do not require data.</w:t>
      </w:r>
      <w:r>
        <w:rPr>
          <w:color w:val="555555"/>
        </w:rPr>
        <w:br/>
      </w:r>
      <w:r>
        <w:rPr>
          <w:rFonts w:ascii="Verdana" w:hAnsi="Verdana"/>
          <w:color w:val="555555"/>
          <w:sz w:val="17"/>
          <w:szCs w:val="17"/>
        </w:rPr>
        <w:t>* One Full-Time Equivalent (FTE) equals one staff member working full-time; one FTE could also represent two staff members who each work 50 percent of full-time.</w:t>
      </w:r>
    </w:p>
    <w:p w:rsidR="00486BFA" w:rsidRDefault="00486BFA">
      <w:pPr>
        <w:pStyle w:val="Heading2"/>
        <w:divId w:val="1531064940"/>
        <w:rPr>
          <w:color w:val="000000"/>
          <w:sz w:val="32"/>
          <w:szCs w:val="32"/>
        </w:rPr>
      </w:pPr>
    </w:p>
    <w:p w:rsidR="00486BFA" w:rsidRDefault="00486BFA">
      <w:pPr>
        <w:pStyle w:val="Heading2"/>
        <w:divId w:val="1531064940"/>
        <w:rPr>
          <w:color w:val="000000"/>
          <w:sz w:val="32"/>
          <w:szCs w:val="32"/>
        </w:rPr>
      </w:pPr>
    </w:p>
    <w:p w:rsidR="00486BFA" w:rsidRDefault="00486BFA">
      <w:pPr>
        <w:pStyle w:val="Heading2"/>
        <w:divId w:val="1531064940"/>
        <w:rPr>
          <w:color w:val="000000"/>
          <w:sz w:val="32"/>
          <w:szCs w:val="32"/>
        </w:rPr>
      </w:pPr>
    </w:p>
    <w:p w:rsidR="00486BFA" w:rsidRDefault="00486BFA">
      <w:pPr>
        <w:pStyle w:val="Heading2"/>
        <w:divId w:val="1531064940"/>
        <w:rPr>
          <w:color w:val="000000"/>
          <w:sz w:val="32"/>
          <w:szCs w:val="32"/>
        </w:rPr>
      </w:pPr>
    </w:p>
    <w:p w:rsidR="00486BFA" w:rsidRDefault="00486BFA">
      <w:pPr>
        <w:pStyle w:val="Heading2"/>
        <w:divId w:val="1531064940"/>
        <w:rPr>
          <w:color w:val="000000"/>
          <w:sz w:val="32"/>
          <w:szCs w:val="32"/>
        </w:rPr>
      </w:pPr>
    </w:p>
    <w:p w:rsidR="00486BFA" w:rsidRDefault="00486BFA">
      <w:pPr>
        <w:pStyle w:val="Heading2"/>
        <w:divId w:val="1531064940"/>
        <w:rPr>
          <w:color w:val="000000"/>
          <w:sz w:val="32"/>
          <w:szCs w:val="32"/>
        </w:rPr>
      </w:pPr>
    </w:p>
    <w:p w:rsidR="00486BFA" w:rsidRDefault="00486BFA">
      <w:pPr>
        <w:pStyle w:val="Heading2"/>
        <w:divId w:val="1531064940"/>
        <w:rPr>
          <w:color w:val="000000"/>
          <w:sz w:val="32"/>
          <w:szCs w:val="32"/>
        </w:rPr>
      </w:pPr>
    </w:p>
    <w:p w:rsidR="00DD5B1A" w:rsidRDefault="00DD5B1A">
      <w:pPr>
        <w:pStyle w:val="Heading2"/>
        <w:divId w:val="1531064940"/>
      </w:pPr>
      <w:r>
        <w:rPr>
          <w:color w:val="000000"/>
          <w:sz w:val="32"/>
          <w:szCs w:val="32"/>
        </w:rPr>
        <w:lastRenderedPageBreak/>
        <w:t>VII. Curriculum and Instructional Materials</w:t>
      </w:r>
    </w:p>
    <w:p w:rsidR="00DD5B1A" w:rsidRDefault="00DD5B1A">
      <w:pPr>
        <w:pStyle w:val="Heading4"/>
        <w:divId w:val="1531064940"/>
      </w:pPr>
      <w:r>
        <w:rPr>
          <w:color w:val="000000"/>
          <w:sz w:val="23"/>
          <w:szCs w:val="23"/>
        </w:rPr>
        <w:t>Quality, Currency, Availability of Textbooks and Instructional Materials (School Year 2011–12)</w:t>
      </w:r>
    </w:p>
    <w:p w:rsidR="00DD5B1A" w:rsidRDefault="00DD5B1A">
      <w:pPr>
        <w:divId w:val="1531064940"/>
        <w:rPr>
          <w:color w:val="555555"/>
        </w:rPr>
      </w:pPr>
      <w:r>
        <w:rPr>
          <w:rFonts w:ascii="Verdana" w:hAnsi="Verdana"/>
          <w:color w:val="555555"/>
          <w:sz w:val="17"/>
          <w:szCs w:val="17"/>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p>
    <w:p w:rsidR="00DD5B1A" w:rsidRDefault="00DD5B1A">
      <w:pPr>
        <w:pStyle w:val="Heading2"/>
        <w:divId w:val="1531064940"/>
      </w:pPr>
      <w:r>
        <w:rPr>
          <w:rFonts w:ascii="Verdana" w:hAnsi="Verdana"/>
          <w:color w:val="555555"/>
          <w:sz w:val="17"/>
          <w:szCs w:val="17"/>
        </w:rPr>
        <w:t>Year and month in which data were collected:   December 2011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10"/>
        <w:gridCol w:w="3398"/>
        <w:gridCol w:w="1976"/>
        <w:gridCol w:w="2566"/>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Textbooks and instructional materials/year of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From most recent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students lacking own assigned copy</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Holt, Rinehart and Winston, 2001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 xml:space="preserve">McDougal </w:t>
            </w:r>
            <w:proofErr w:type="spellStart"/>
            <w:r>
              <w:rPr>
                <w:rFonts w:ascii="Arial" w:hAnsi="Arial" w:cs="Arial"/>
                <w:color w:val="666699"/>
                <w:sz w:val="18"/>
                <w:szCs w:val="18"/>
                <w:shd w:val="clear" w:color="auto" w:fill="FFFFCC"/>
              </w:rPr>
              <w:t>Littell</w:t>
            </w:r>
            <w:proofErr w:type="spellEnd"/>
            <w:r>
              <w:rPr>
                <w:rFonts w:ascii="Arial" w:hAnsi="Arial" w:cs="Arial"/>
                <w:color w:val="666699"/>
                <w:sz w:val="18"/>
                <w:szCs w:val="18"/>
                <w:shd w:val="clear" w:color="auto" w:fill="FFFFCC"/>
              </w:rPr>
              <w:t>, 2008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Prentice Hall,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jc w:val="center"/>
            </w:pPr>
            <w:r>
              <w:rPr>
                <w:rFonts w:ascii="Arial" w:hAnsi="Arial" w:cs="Arial"/>
                <w:color w:val="666699"/>
                <w:sz w:val="18"/>
                <w:szCs w:val="18"/>
                <w:shd w:val="clear" w:color="auto" w:fill="FFFFCC"/>
              </w:rPr>
              <w:t xml:space="preserve">McDougal </w:t>
            </w:r>
            <w:proofErr w:type="spellStart"/>
            <w:r>
              <w:rPr>
                <w:rFonts w:ascii="Arial" w:hAnsi="Arial" w:cs="Arial"/>
                <w:color w:val="666699"/>
                <w:sz w:val="18"/>
                <w:szCs w:val="18"/>
                <w:shd w:val="clear" w:color="auto" w:fill="FFFFCC"/>
              </w:rPr>
              <w:t>Littell</w:t>
            </w:r>
            <w:proofErr w:type="spellEnd"/>
            <w:r>
              <w:rPr>
                <w:rFonts w:ascii="Arial" w:hAnsi="Arial" w:cs="Arial"/>
                <w:color w:val="666699"/>
                <w:sz w:val="18"/>
                <w:szCs w:val="18"/>
                <w:shd w:val="clear" w:color="auto" w:fill="FFFFCC"/>
              </w:rPr>
              <w:t>, 2006</w:t>
            </w:r>
          </w:p>
          <w:p w:rsidR="00DD5B1A" w:rsidRDefault="00DD5B1A">
            <w:pPr>
              <w:pStyle w:val="NormalWeb"/>
              <w:spacing w:before="0" w:beforeAutospacing="0" w:after="0" w:afterAutospacing="0"/>
              <w:jc w:val="center"/>
            </w:pPr>
            <w:r>
              <w:rPr>
                <w:rFonts w:ascii="Arial" w:hAnsi="Arial" w:cs="Arial"/>
                <w:color w:val="666699"/>
                <w:sz w:val="18"/>
                <w:szCs w:val="18"/>
                <w:shd w:val="clear" w:color="auto" w:fill="FFFFCC"/>
              </w:rPr>
              <w:t>McGraw-Hill, 2006</w:t>
            </w:r>
          </w:p>
          <w:p w:rsidR="00DD5B1A" w:rsidRDefault="00DD5B1A">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Prentice Hall, 2006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jc w:val="center"/>
            </w:pPr>
            <w:r>
              <w:rPr>
                <w:rFonts w:ascii="Arial" w:hAnsi="Arial" w:cs="Arial"/>
                <w:color w:val="666699"/>
                <w:sz w:val="18"/>
                <w:szCs w:val="18"/>
                <w:shd w:val="clear" w:color="auto" w:fill="FFFFCC"/>
              </w:rPr>
              <w:t xml:space="preserve">McDougal </w:t>
            </w:r>
            <w:proofErr w:type="spellStart"/>
            <w:r>
              <w:rPr>
                <w:rFonts w:ascii="Arial" w:hAnsi="Arial" w:cs="Arial"/>
                <w:color w:val="666699"/>
                <w:sz w:val="18"/>
                <w:szCs w:val="18"/>
                <w:shd w:val="clear" w:color="auto" w:fill="FFFFCC"/>
              </w:rPr>
              <w:t>Littell</w:t>
            </w:r>
            <w:proofErr w:type="spellEnd"/>
            <w:r>
              <w:rPr>
                <w:rFonts w:ascii="Arial" w:hAnsi="Arial" w:cs="Arial"/>
                <w:color w:val="666699"/>
                <w:sz w:val="18"/>
                <w:szCs w:val="18"/>
                <w:shd w:val="clear" w:color="auto" w:fill="FFFFCC"/>
              </w:rPr>
              <w:t>, 2001</w:t>
            </w:r>
          </w:p>
          <w:p w:rsidR="00DD5B1A" w:rsidRDefault="00DD5B1A">
            <w:pPr>
              <w:pStyle w:val="NormalWeb"/>
              <w:spacing w:before="0" w:beforeAutospacing="0" w:after="0" w:afterAutospacing="0"/>
              <w:jc w:val="center"/>
            </w:pPr>
            <w:r>
              <w:rPr>
                <w:rFonts w:ascii="Arial" w:hAnsi="Arial" w:cs="Arial"/>
                <w:color w:val="666699"/>
                <w:sz w:val="18"/>
                <w:szCs w:val="18"/>
                <w:shd w:val="clear" w:color="auto" w:fill="FFFFCC"/>
              </w:rPr>
              <w:t>Prentice Hall, 2001</w:t>
            </w:r>
          </w:p>
          <w:p w:rsidR="00DD5B1A" w:rsidRDefault="00DD5B1A">
            <w:pPr>
              <w:pStyle w:val="NormalWeb"/>
              <w:spacing w:before="0" w:beforeAutospacing="0" w:after="0" w:afterAutospacing="0"/>
              <w:jc w:val="center"/>
            </w:pPr>
            <w:proofErr w:type="spellStart"/>
            <w:r>
              <w:rPr>
                <w:rFonts w:ascii="Arial" w:hAnsi="Arial" w:cs="Arial"/>
                <w:color w:val="666699"/>
                <w:sz w:val="18"/>
                <w:szCs w:val="18"/>
                <w:shd w:val="clear" w:color="auto" w:fill="FFFFCC"/>
              </w:rPr>
              <w:t>Heinie</w:t>
            </w:r>
            <w:proofErr w:type="spellEnd"/>
            <w:r>
              <w:rPr>
                <w:rFonts w:ascii="Arial" w:hAnsi="Arial" w:cs="Arial"/>
                <w:color w:val="666699"/>
                <w:sz w:val="18"/>
                <w:szCs w:val="18"/>
                <w:shd w:val="clear" w:color="auto" w:fill="FFFFCC"/>
              </w:rPr>
              <w:t xml:space="preserve"> and </w:t>
            </w:r>
            <w:proofErr w:type="spellStart"/>
            <w:r>
              <w:rPr>
                <w:rFonts w:ascii="Arial" w:hAnsi="Arial" w:cs="Arial"/>
                <w:color w:val="666699"/>
                <w:sz w:val="18"/>
                <w:szCs w:val="18"/>
                <w:shd w:val="clear" w:color="auto" w:fill="FFFFCC"/>
              </w:rPr>
              <w:t>Heinie</w:t>
            </w:r>
            <w:proofErr w:type="spellEnd"/>
            <w:r>
              <w:rPr>
                <w:rFonts w:ascii="Arial" w:hAnsi="Arial" w:cs="Arial"/>
                <w:color w:val="666699"/>
                <w:sz w:val="18"/>
                <w:szCs w:val="18"/>
                <w:shd w:val="clear" w:color="auto" w:fill="FFFFCC"/>
              </w:rPr>
              <w:t>, 2001</w:t>
            </w:r>
          </w:p>
          <w:p w:rsidR="00DD5B1A" w:rsidRDefault="00DD5B1A">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US International Press, 2001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Glencoe,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r>
    </w:tbl>
    <w:p w:rsidR="00DD5B1A" w:rsidRDefault="00DD5B1A">
      <w:pPr>
        <w:divId w:val="1531064940"/>
        <w:rPr>
          <w:color w:val="555555"/>
        </w:rPr>
      </w:pPr>
      <w:r>
        <w:rPr>
          <w:color w:val="555555"/>
        </w:rPr>
        <w:br/>
      </w:r>
    </w:p>
    <w:p w:rsidR="00DD5B1A" w:rsidRDefault="00DD5B1A">
      <w:pPr>
        <w:pStyle w:val="Heading2"/>
        <w:divId w:val="1531064940"/>
      </w:pPr>
      <w:r>
        <w:rPr>
          <w:color w:val="000000"/>
          <w:sz w:val="32"/>
          <w:szCs w:val="32"/>
        </w:rPr>
        <w:t>VIII. School Finances</w:t>
      </w:r>
    </w:p>
    <w:p w:rsidR="00DD5B1A" w:rsidRDefault="00DD5B1A">
      <w:pPr>
        <w:pStyle w:val="Heading4"/>
        <w:divId w:val="1531064940"/>
      </w:pPr>
      <w:r>
        <w:rPr>
          <w:color w:val="000000"/>
          <w:sz w:val="23"/>
          <w:szCs w:val="23"/>
        </w:rPr>
        <w:t xml:space="preserve">Expenditures </w:t>
      </w:r>
      <w:proofErr w:type="gramStart"/>
      <w:r>
        <w:rPr>
          <w:color w:val="000000"/>
          <w:sz w:val="23"/>
          <w:szCs w:val="23"/>
        </w:rPr>
        <w:t>Per</w:t>
      </w:r>
      <w:proofErr w:type="gramEnd"/>
      <w:r>
        <w:rPr>
          <w:color w:val="000000"/>
          <w:sz w:val="23"/>
          <w:szCs w:val="23"/>
        </w:rPr>
        <w:t xml:space="preserve"> Pupil and School Site Teacher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4"/>
        <w:gridCol w:w="1990"/>
        <w:gridCol w:w="2801"/>
        <w:gridCol w:w="2518"/>
        <w:gridCol w:w="1497"/>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3F3F3"/>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3F3F3"/>
                <w:sz w:val="18"/>
                <w:szCs w:val="18"/>
                <w:shd w:val="clear" w:color="auto" w:fill="1A4678"/>
              </w:rPr>
              <w:t>Total Expenditures Per Pupil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3F3F3"/>
                <w:sz w:val="18"/>
                <w:szCs w:val="18"/>
                <w:shd w:val="clear" w:color="auto" w:fill="1A4678"/>
              </w:rPr>
              <w:t>Expenditures Per Pupil (Supplemental / 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3F3F3"/>
                <w:sz w:val="18"/>
                <w:szCs w:val="18"/>
                <w:shd w:val="clear" w:color="auto" w:fill="1A4678"/>
              </w:rPr>
              <w:t>Expenditures Per Pupil (Basic / Unrestricted)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3F3F3"/>
                <w:sz w:val="18"/>
                <w:szCs w:val="18"/>
                <w:shd w:val="clear" w:color="auto" w:fill="1A4678"/>
              </w:rPr>
              <w:t>Average Teacher Salary</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$6,515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$1,232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$5,283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$73,796</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$70,053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5.34%</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$67,667</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9.06%</w:t>
            </w:r>
          </w:p>
        </w:tc>
      </w:tr>
    </w:tbl>
    <w:p w:rsidR="00DD5B1A" w:rsidRDefault="00DD5B1A">
      <w:pPr>
        <w:divId w:val="1531064940"/>
        <w:rPr>
          <w:color w:val="555555"/>
        </w:rPr>
      </w:pPr>
      <w:r>
        <w:rPr>
          <w:color w:val="555555"/>
        </w:rPr>
        <w:br/>
      </w:r>
      <w:r>
        <w:rPr>
          <w:rFonts w:ascii="Verdana" w:hAnsi="Verdana"/>
          <w:color w:val="555555"/>
          <w:sz w:val="17"/>
          <w:szCs w:val="17"/>
        </w:rPr>
        <w:t>Note: Cells shaded in black do not require data.</w:t>
      </w:r>
      <w:r>
        <w:rPr>
          <w:color w:val="555555"/>
        </w:rPr>
        <w:br/>
      </w:r>
      <w:r>
        <w:rPr>
          <w:color w:val="555555"/>
        </w:rPr>
        <w:br/>
      </w:r>
      <w:r>
        <w:rPr>
          <w:rFonts w:ascii="Verdana" w:hAnsi="Verdana"/>
          <w:b/>
          <w:bCs/>
          <w:i/>
          <w:iCs/>
          <w:color w:val="555555"/>
          <w:sz w:val="17"/>
          <w:szCs w:val="17"/>
        </w:rPr>
        <w:t>Supplemental/Restricted</w:t>
      </w:r>
      <w:r>
        <w:rPr>
          <w:rFonts w:ascii="Verdana" w:hAnsi="Verdana"/>
          <w:color w:val="555555"/>
          <w:sz w:val="17"/>
          <w:szCs w:val="17"/>
        </w:rPr>
        <w:t xml:space="preserve"> expenditures come from money whose use is controlled by law or by a donor. Money that is designated for specific purposes by the district or governing board is not considered restricted. </w:t>
      </w:r>
      <w:r>
        <w:rPr>
          <w:b/>
          <w:bCs/>
          <w:i/>
          <w:iCs/>
          <w:color w:val="555555"/>
        </w:rPr>
        <w:t>Basic/unrestricted</w:t>
      </w:r>
      <w:r>
        <w:rPr>
          <w:color w:val="555555"/>
        </w:rPr>
        <w:t xml:space="preserve"> expenditures are from money whose use, except for general guidelines, is not controlled by law or by a donor.</w:t>
      </w:r>
      <w:r>
        <w:rPr>
          <w:color w:val="555555"/>
        </w:rPr>
        <w:br/>
      </w:r>
      <w:r>
        <w:rPr>
          <w:color w:val="555555"/>
        </w:rPr>
        <w:br/>
        <w:t xml:space="preserve">For detailed information on school expenditures for all districts in California, see the </w:t>
      </w:r>
      <w:r>
        <w:rPr>
          <w:i/>
          <w:iCs/>
          <w:color w:val="555555"/>
        </w:rPr>
        <w:t>CDE Current Expense of Education &amp; Per-pupil Spending</w:t>
      </w:r>
      <w:r>
        <w:rPr>
          <w:color w:val="555555"/>
        </w:rPr>
        <w:t xml:space="preserve"> Web page at</w:t>
      </w:r>
      <w:hyperlink r:id="rId7" w:history="1">
        <w:r>
          <w:rPr>
            <w:rStyle w:val="Hyperlink"/>
          </w:rPr>
          <w:t xml:space="preserve"> http://www.cde.ca.gov/ds/fd/ec/</w:t>
        </w:r>
      </w:hyperlink>
      <w:r>
        <w:rPr>
          <w:rFonts w:ascii="Arial" w:hAnsi="Arial" w:cs="Arial"/>
          <w:color w:val="000000"/>
          <w:sz w:val="23"/>
          <w:szCs w:val="23"/>
        </w:rPr>
        <w:t xml:space="preserve">. For information on teacher </w:t>
      </w:r>
      <w:r>
        <w:rPr>
          <w:rFonts w:ascii="Arial" w:hAnsi="Arial" w:cs="Arial"/>
          <w:color w:val="000000"/>
          <w:sz w:val="23"/>
          <w:szCs w:val="23"/>
        </w:rPr>
        <w:lastRenderedPageBreak/>
        <w:t xml:space="preserve">salaries for all districts in California, see the CDE </w:t>
      </w:r>
      <w:r>
        <w:rPr>
          <w:rFonts w:ascii="Arial" w:hAnsi="Arial" w:cs="Arial"/>
          <w:i/>
          <w:iCs/>
          <w:color w:val="000000"/>
          <w:sz w:val="23"/>
          <w:szCs w:val="23"/>
        </w:rPr>
        <w:t>Certificated Salaries &amp; Benefits</w:t>
      </w:r>
      <w:r>
        <w:rPr>
          <w:rFonts w:ascii="Arial" w:hAnsi="Arial" w:cs="Arial"/>
          <w:color w:val="000000"/>
          <w:sz w:val="23"/>
          <w:szCs w:val="23"/>
        </w:rPr>
        <w:t xml:space="preserve"> Web page at</w:t>
      </w:r>
      <w:hyperlink r:id="rId8" w:history="1">
        <w:r>
          <w:rPr>
            <w:rStyle w:val="Hyperlink"/>
            <w:rFonts w:ascii="Arial" w:hAnsi="Arial" w:cs="Arial"/>
            <w:color w:val="000000"/>
            <w:sz w:val="23"/>
            <w:szCs w:val="23"/>
          </w:rPr>
          <w:t xml:space="preserve"> http://www.cde.ca.gov/ds/fd/cs/</w:t>
        </w:r>
      </w:hyperlink>
      <w:r>
        <w:rPr>
          <w:rFonts w:ascii="Arial" w:hAnsi="Arial" w:cs="Arial"/>
          <w:color w:val="000000"/>
          <w:sz w:val="23"/>
          <w:szCs w:val="23"/>
        </w:rPr>
        <w:t>. To look up expenditures and salaries for a specific school district, see the Ed-Data Web site at:</w:t>
      </w:r>
      <w:hyperlink r:id="rId9" w:history="1">
        <w:r>
          <w:rPr>
            <w:rStyle w:val="Hyperlink"/>
            <w:rFonts w:ascii="Arial" w:hAnsi="Arial" w:cs="Arial"/>
            <w:color w:val="000000"/>
            <w:sz w:val="23"/>
            <w:szCs w:val="23"/>
          </w:rPr>
          <w:t xml:space="preserve"> http://www.ed-data.org</w:t>
        </w:r>
      </w:hyperlink>
      <w:r>
        <w:rPr>
          <w:rFonts w:ascii="Arial" w:hAnsi="Arial" w:cs="Arial"/>
          <w:color w:val="000000"/>
          <w:sz w:val="23"/>
          <w:szCs w:val="23"/>
        </w:rPr>
        <w:t>.</w:t>
      </w:r>
    </w:p>
    <w:p w:rsidR="00DD5B1A" w:rsidRDefault="00DD5B1A">
      <w:pPr>
        <w:pStyle w:val="Heading4"/>
        <w:divId w:val="1531064940"/>
      </w:pPr>
      <w:r>
        <w:rPr>
          <w:color w:val="000000"/>
          <w:sz w:val="23"/>
          <w:szCs w:val="23"/>
        </w:rPr>
        <w:t>Types of Services Funded (Fiscal Year 2010–11)</w:t>
      </w:r>
    </w:p>
    <w:tbl>
      <w:tblPr>
        <w:tblW w:w="0" w:type="auto"/>
        <w:tblLook w:val="04A0"/>
      </w:tblPr>
      <w:tblGrid>
        <w:gridCol w:w="10920"/>
      </w:tblGrid>
      <w:tr w:rsidR="00DD5B1A">
        <w:trPr>
          <w:divId w:val="153106494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DD5B1A" w:rsidRDefault="00DD5B1A">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programs and supplemental services that are available at the school and funded through either categorical or other sources. </w:t>
            </w:r>
          </w:p>
          <w:p w:rsidR="00DD5B1A" w:rsidRDefault="00DD5B1A">
            <w:pPr>
              <w:rPr>
                <w:rFonts w:ascii="Arial" w:hAnsi="Arial" w:cs="Arial"/>
                <w:color w:val="000000"/>
                <w:sz w:val="18"/>
                <w:szCs w:val="18"/>
              </w:rPr>
            </w:pPr>
            <w:r w:rsidRPr="003626FA">
              <w:rPr>
                <w:rFonts w:ascii="Arial" w:hAnsi="Arial" w:cs="Arial"/>
                <w:color w:val="000000"/>
                <w:sz w:val="18"/>
                <w:szCs w:val="18"/>
              </w:rPr>
              <w:t>In addition to general State funding, Alhambra Unified School District receives State and Federal categorical funding for special programs.  For the 2010-11 school year, the District received approximately $1,688 per student in Federal or State aid for the following categorical, special education, and support programs:</w:t>
            </w:r>
          </w:p>
          <w:p w:rsidR="00DD5B1A" w:rsidRPr="003626FA" w:rsidRDefault="00DD5B1A">
            <w:pPr>
              <w:numPr>
                <w:ilvl w:val="0"/>
                <w:numId w:val="2"/>
              </w:numPr>
              <w:rPr>
                <w:rFonts w:ascii="Arial" w:hAnsi="Arial" w:cs="Arial"/>
                <w:color w:val="000000"/>
                <w:sz w:val="18"/>
                <w:szCs w:val="18"/>
              </w:rPr>
            </w:pPr>
            <w:r w:rsidRPr="003626FA">
              <w:rPr>
                <w:rFonts w:ascii="Arial" w:hAnsi="Arial" w:cs="Arial"/>
                <w:color w:val="000000"/>
                <w:sz w:val="18"/>
                <w:szCs w:val="18"/>
              </w:rPr>
              <w:t>Title I</w:t>
            </w:r>
          </w:p>
          <w:p w:rsidR="00DD5B1A" w:rsidRPr="003626FA" w:rsidRDefault="00DD5B1A">
            <w:pPr>
              <w:numPr>
                <w:ilvl w:val="0"/>
                <w:numId w:val="2"/>
              </w:numPr>
              <w:rPr>
                <w:rFonts w:ascii="Arial" w:hAnsi="Arial" w:cs="Arial"/>
                <w:color w:val="000000"/>
                <w:sz w:val="18"/>
                <w:szCs w:val="18"/>
              </w:rPr>
            </w:pPr>
            <w:r w:rsidRPr="003626FA">
              <w:rPr>
                <w:rFonts w:ascii="Arial" w:hAnsi="Arial" w:cs="Arial"/>
                <w:color w:val="000000"/>
                <w:sz w:val="18"/>
                <w:szCs w:val="18"/>
              </w:rPr>
              <w:t>Title II</w:t>
            </w:r>
            <w:r w:rsidRPr="003626FA">
              <w:rPr>
                <w:rFonts w:ascii="Arial" w:hAnsi="Arial" w:cs="Arial"/>
                <w:color w:val="000000"/>
                <w:sz w:val="18"/>
                <w:szCs w:val="18"/>
              </w:rPr>
              <w:tab/>
            </w:r>
          </w:p>
          <w:p w:rsidR="00DD5B1A" w:rsidRPr="003626FA" w:rsidRDefault="00DD5B1A">
            <w:pPr>
              <w:numPr>
                <w:ilvl w:val="0"/>
                <w:numId w:val="2"/>
              </w:numPr>
              <w:rPr>
                <w:rFonts w:ascii="Arial" w:hAnsi="Arial" w:cs="Arial"/>
                <w:color w:val="000000"/>
                <w:sz w:val="18"/>
                <w:szCs w:val="18"/>
              </w:rPr>
            </w:pPr>
            <w:r w:rsidRPr="003626FA">
              <w:rPr>
                <w:rFonts w:ascii="Arial" w:hAnsi="Arial" w:cs="Arial"/>
                <w:color w:val="000000"/>
                <w:sz w:val="18"/>
                <w:szCs w:val="18"/>
              </w:rPr>
              <w:t>Title III</w:t>
            </w:r>
          </w:p>
          <w:p w:rsidR="00DD5B1A" w:rsidRPr="003626FA" w:rsidRDefault="00DD5B1A">
            <w:pPr>
              <w:numPr>
                <w:ilvl w:val="0"/>
                <w:numId w:val="2"/>
              </w:numPr>
              <w:rPr>
                <w:rFonts w:ascii="Arial" w:hAnsi="Arial" w:cs="Arial"/>
                <w:color w:val="000000"/>
                <w:sz w:val="18"/>
                <w:szCs w:val="18"/>
              </w:rPr>
            </w:pPr>
            <w:r w:rsidRPr="003626FA">
              <w:rPr>
                <w:rFonts w:ascii="Arial" w:hAnsi="Arial" w:cs="Arial"/>
                <w:color w:val="000000"/>
                <w:sz w:val="18"/>
                <w:szCs w:val="18"/>
              </w:rPr>
              <w:t>Title IV</w:t>
            </w:r>
          </w:p>
          <w:p w:rsidR="00DD5B1A" w:rsidRPr="003626FA" w:rsidRDefault="00DD5B1A">
            <w:pPr>
              <w:numPr>
                <w:ilvl w:val="0"/>
                <w:numId w:val="2"/>
              </w:numPr>
              <w:rPr>
                <w:rFonts w:ascii="Arial" w:hAnsi="Arial" w:cs="Arial"/>
                <w:color w:val="000000"/>
                <w:sz w:val="18"/>
                <w:szCs w:val="18"/>
              </w:rPr>
            </w:pPr>
            <w:r w:rsidRPr="003626FA">
              <w:rPr>
                <w:rFonts w:ascii="Arial" w:hAnsi="Arial" w:cs="Arial"/>
                <w:color w:val="000000"/>
                <w:sz w:val="18"/>
                <w:szCs w:val="18"/>
              </w:rPr>
              <w:t>WIA</w:t>
            </w:r>
          </w:p>
          <w:p w:rsidR="00DD5B1A" w:rsidRPr="003626FA" w:rsidRDefault="00DD5B1A">
            <w:pPr>
              <w:numPr>
                <w:ilvl w:val="0"/>
                <w:numId w:val="2"/>
              </w:numPr>
              <w:rPr>
                <w:rFonts w:ascii="Arial" w:hAnsi="Arial" w:cs="Arial"/>
                <w:color w:val="000000"/>
                <w:sz w:val="18"/>
                <w:szCs w:val="18"/>
              </w:rPr>
            </w:pPr>
            <w:r w:rsidRPr="003626FA">
              <w:rPr>
                <w:rFonts w:ascii="Arial" w:hAnsi="Arial" w:cs="Arial"/>
                <w:color w:val="000000"/>
                <w:sz w:val="18"/>
                <w:szCs w:val="18"/>
              </w:rPr>
              <w:t>Migrant Education</w:t>
            </w:r>
          </w:p>
          <w:p w:rsidR="00DD5B1A" w:rsidRPr="003626FA" w:rsidRDefault="00DD5B1A">
            <w:pPr>
              <w:numPr>
                <w:ilvl w:val="0"/>
                <w:numId w:val="2"/>
              </w:numPr>
              <w:rPr>
                <w:rFonts w:ascii="Arial" w:hAnsi="Arial" w:cs="Arial"/>
                <w:color w:val="000000"/>
                <w:sz w:val="18"/>
                <w:szCs w:val="18"/>
              </w:rPr>
            </w:pPr>
            <w:r w:rsidRPr="003626FA">
              <w:rPr>
                <w:rFonts w:ascii="Arial" w:hAnsi="Arial" w:cs="Arial"/>
                <w:color w:val="000000"/>
                <w:sz w:val="18"/>
                <w:szCs w:val="18"/>
              </w:rPr>
              <w:t>Lottery Instructional Materials</w:t>
            </w:r>
          </w:p>
          <w:p w:rsidR="00DD5B1A" w:rsidRPr="003626FA" w:rsidRDefault="00DD5B1A">
            <w:pPr>
              <w:numPr>
                <w:ilvl w:val="0"/>
                <w:numId w:val="2"/>
              </w:numPr>
              <w:rPr>
                <w:rFonts w:ascii="Arial" w:hAnsi="Arial" w:cs="Arial"/>
                <w:color w:val="000000"/>
                <w:sz w:val="18"/>
                <w:szCs w:val="18"/>
              </w:rPr>
            </w:pPr>
            <w:r w:rsidRPr="003626FA">
              <w:rPr>
                <w:rFonts w:ascii="Arial" w:hAnsi="Arial" w:cs="Arial"/>
                <w:color w:val="000000"/>
                <w:sz w:val="18"/>
                <w:szCs w:val="18"/>
              </w:rPr>
              <w:t>Special Education</w:t>
            </w:r>
          </w:p>
          <w:p w:rsidR="00DD5B1A" w:rsidRPr="003626FA" w:rsidRDefault="00DD5B1A">
            <w:pPr>
              <w:numPr>
                <w:ilvl w:val="0"/>
                <w:numId w:val="2"/>
              </w:numPr>
              <w:rPr>
                <w:rFonts w:ascii="Arial" w:hAnsi="Arial" w:cs="Arial"/>
                <w:color w:val="000000"/>
                <w:sz w:val="18"/>
                <w:szCs w:val="18"/>
              </w:rPr>
            </w:pPr>
            <w:r w:rsidRPr="003626FA">
              <w:rPr>
                <w:rFonts w:ascii="Arial" w:hAnsi="Arial" w:cs="Arial"/>
                <w:color w:val="000000"/>
                <w:sz w:val="18"/>
                <w:szCs w:val="18"/>
              </w:rPr>
              <w:t>EIA/SCE</w:t>
            </w:r>
          </w:p>
          <w:p w:rsidR="00DD5B1A" w:rsidRPr="003626FA" w:rsidRDefault="00DD5B1A">
            <w:pPr>
              <w:numPr>
                <w:ilvl w:val="0"/>
                <w:numId w:val="2"/>
              </w:numPr>
              <w:rPr>
                <w:rFonts w:ascii="Arial" w:hAnsi="Arial" w:cs="Arial"/>
                <w:color w:val="000000"/>
                <w:sz w:val="18"/>
                <w:szCs w:val="18"/>
              </w:rPr>
            </w:pPr>
            <w:r w:rsidRPr="003626FA">
              <w:rPr>
                <w:rFonts w:ascii="Arial" w:hAnsi="Arial" w:cs="Arial"/>
                <w:color w:val="000000"/>
                <w:sz w:val="18"/>
                <w:szCs w:val="18"/>
              </w:rPr>
              <w:t>EIA/LEP</w:t>
            </w:r>
          </w:p>
          <w:p w:rsidR="00DD5B1A" w:rsidRDefault="00DD5B1A">
            <w:pPr>
              <w:numPr>
                <w:ilvl w:val="0"/>
                <w:numId w:val="2"/>
              </w:numPr>
              <w:rPr>
                <w:rFonts w:ascii="Arial" w:hAnsi="Arial" w:cs="Arial"/>
                <w:color w:val="000000"/>
                <w:sz w:val="18"/>
                <w:szCs w:val="18"/>
              </w:rPr>
            </w:pPr>
            <w:r w:rsidRPr="003626FA">
              <w:rPr>
                <w:rFonts w:ascii="Arial" w:hAnsi="Arial" w:cs="Arial"/>
                <w:color w:val="000000"/>
                <w:sz w:val="18"/>
                <w:szCs w:val="18"/>
              </w:rPr>
              <w:t>VAPA</w:t>
            </w:r>
          </w:p>
        </w:tc>
      </w:tr>
    </w:tbl>
    <w:p w:rsidR="00DD5B1A" w:rsidRDefault="00DD5B1A">
      <w:pPr>
        <w:divId w:val="1531064940"/>
        <w:rPr>
          <w:color w:val="555555"/>
        </w:rPr>
      </w:pPr>
    </w:p>
    <w:p w:rsidR="00DD5B1A" w:rsidRDefault="00DD5B1A">
      <w:pPr>
        <w:pStyle w:val="Heading4"/>
        <w:divId w:val="1531064940"/>
      </w:pPr>
      <w:r>
        <w:rPr>
          <w:color w:val="000000"/>
          <w:sz w:val="23"/>
          <w:szCs w:val="23"/>
        </w:rPr>
        <w:t>Teacher and Administrative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26"/>
        <w:gridCol w:w="1775"/>
        <w:gridCol w:w="4719"/>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Category</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Amount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State Average For Districts In Same Category</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Beginning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$35,430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$41,035</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Mid-Range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$66,490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$65,412</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Highest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$84,837</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$106,217</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(Middle)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$111,763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$138,132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$121,538</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$197,275</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Teacher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39.00%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Administrative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r>
    </w:tbl>
    <w:p w:rsidR="00DD5B1A" w:rsidRDefault="00DD5B1A">
      <w:pPr>
        <w:divId w:val="1531064940"/>
        <w:rPr>
          <w:color w:val="555555"/>
        </w:rPr>
      </w:pPr>
      <w:r>
        <w:rPr>
          <w:rFonts w:ascii="Verdana" w:hAnsi="Verdana"/>
          <w:color w:val="555555"/>
          <w:sz w:val="17"/>
          <w:szCs w:val="17"/>
        </w:rPr>
        <w:t>Note: For detailed information on salaries, see the CDE Certificated Salaries &amp; Benefits Web page at</w:t>
      </w:r>
      <w:hyperlink r:id="rId10" w:history="1">
        <w:r>
          <w:rPr>
            <w:rStyle w:val="Hyperlink"/>
            <w:rFonts w:ascii="Verdana" w:hAnsi="Verdana"/>
            <w:color w:val="555555"/>
            <w:sz w:val="17"/>
            <w:szCs w:val="17"/>
          </w:rPr>
          <w:t xml:space="preserve"> http://www.cde.ca.gov/ds/fd/cs/</w:t>
        </w:r>
      </w:hyperlink>
      <w:r>
        <w:rPr>
          <w:rFonts w:ascii="Verdana" w:hAnsi="Verdana"/>
          <w:color w:val="555555"/>
          <w:sz w:val="17"/>
          <w:szCs w:val="17"/>
        </w:rPr>
        <w:t>.</w:t>
      </w:r>
    </w:p>
    <w:p w:rsidR="00486BFA" w:rsidRDefault="00486BFA">
      <w:pPr>
        <w:pStyle w:val="Heading2"/>
        <w:divId w:val="1531064940"/>
        <w:rPr>
          <w:color w:val="000000"/>
          <w:sz w:val="32"/>
          <w:szCs w:val="32"/>
        </w:rPr>
      </w:pPr>
    </w:p>
    <w:p w:rsidR="00DD5B1A" w:rsidRDefault="00DD5B1A">
      <w:pPr>
        <w:pStyle w:val="Heading2"/>
        <w:divId w:val="1531064940"/>
      </w:pPr>
      <w:r>
        <w:rPr>
          <w:color w:val="000000"/>
          <w:sz w:val="32"/>
          <w:szCs w:val="32"/>
        </w:rPr>
        <w:t>IX. Student Performance</w:t>
      </w:r>
    </w:p>
    <w:p w:rsidR="00DD5B1A" w:rsidRDefault="00DD5B1A">
      <w:pPr>
        <w:pStyle w:val="Heading4"/>
        <w:divId w:val="1531064940"/>
      </w:pPr>
      <w:r>
        <w:rPr>
          <w:color w:val="000000"/>
          <w:sz w:val="23"/>
          <w:szCs w:val="23"/>
        </w:rPr>
        <w:t>Standardized Testing and Reporting Program</w:t>
      </w:r>
    </w:p>
    <w:p w:rsidR="00DD5B1A" w:rsidRDefault="00DD5B1A">
      <w:pPr>
        <w:divId w:val="1531064940"/>
        <w:rPr>
          <w:color w:val="555555"/>
        </w:rPr>
      </w:pPr>
      <w:r>
        <w:rPr>
          <w:rFonts w:ascii="Verdana" w:hAnsi="Verdana"/>
          <w:color w:val="555555"/>
          <w:sz w:val="17"/>
          <w:szCs w:val="17"/>
        </w:rPr>
        <w:t>The Standardized Testing and Reporting (STAR) Program consists of several key components, including:</w:t>
      </w:r>
    </w:p>
    <w:p w:rsidR="00DD5B1A" w:rsidRDefault="00DD5B1A">
      <w:pPr>
        <w:numPr>
          <w:ilvl w:val="0"/>
          <w:numId w:val="3"/>
        </w:numPr>
        <w:spacing w:before="100" w:beforeAutospacing="1" w:after="100" w:afterAutospacing="1"/>
        <w:textAlignment w:val="baseline"/>
        <w:divId w:val="1531064940"/>
        <w:rPr>
          <w:rFonts w:ascii="Arial" w:hAnsi="Arial" w:cs="Arial"/>
          <w:color w:val="000000"/>
          <w:sz w:val="23"/>
          <w:szCs w:val="23"/>
        </w:rPr>
      </w:pPr>
      <w:r>
        <w:rPr>
          <w:rFonts w:ascii="Verdana" w:hAnsi="Verdana" w:cs="Arial"/>
          <w:b/>
          <w:bCs/>
          <w:color w:val="555555"/>
          <w:sz w:val="17"/>
          <w:szCs w:val="17"/>
        </w:rPr>
        <w:t>California Standards Tests (CSTs)</w:t>
      </w:r>
      <w:r>
        <w:rPr>
          <w:rFonts w:ascii="Verdana" w:hAnsi="Verdana" w:cs="Arial"/>
          <w:color w:val="555555"/>
          <w:sz w:val="17"/>
          <w:szCs w:val="17"/>
        </w:rPr>
        <w:t>, which include English-language arts (ELA) and mathematics in grades two through eleven; science in grades five, eight, and nine through eleven; and history-social science in grades eight, and nine through eleven.</w:t>
      </w:r>
    </w:p>
    <w:p w:rsidR="00DD5B1A" w:rsidRDefault="00DD5B1A">
      <w:pPr>
        <w:numPr>
          <w:ilvl w:val="0"/>
          <w:numId w:val="3"/>
        </w:numPr>
        <w:spacing w:before="100" w:beforeAutospacing="1" w:after="100" w:afterAutospacing="1"/>
        <w:textAlignment w:val="baseline"/>
        <w:divId w:val="1531064940"/>
        <w:rPr>
          <w:rFonts w:ascii="Arial" w:hAnsi="Arial" w:cs="Arial"/>
          <w:color w:val="000000"/>
          <w:sz w:val="23"/>
          <w:szCs w:val="23"/>
        </w:rPr>
      </w:pPr>
      <w:r>
        <w:rPr>
          <w:rFonts w:ascii="Verdana" w:hAnsi="Verdana" w:cs="Arial"/>
          <w:b/>
          <w:bCs/>
          <w:color w:val="555555"/>
          <w:sz w:val="17"/>
          <w:szCs w:val="17"/>
        </w:rPr>
        <w:t>California Modified Assessment (CMA)</w:t>
      </w:r>
      <w:r>
        <w:rPr>
          <w:rFonts w:ascii="Verdana" w:hAnsi="Verdana" w:cs="Arial"/>
          <w:color w:val="555555"/>
          <w:sz w:val="17"/>
          <w:szCs w:val="17"/>
        </w:rPr>
        <w:t>,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students whose disabilities preclude them from achieving grade-level proficiency on an assessment of the California content standards with or without accommodations.</w:t>
      </w:r>
    </w:p>
    <w:p w:rsidR="00DD5B1A" w:rsidRDefault="00DD5B1A">
      <w:pPr>
        <w:numPr>
          <w:ilvl w:val="0"/>
          <w:numId w:val="3"/>
        </w:numPr>
        <w:spacing w:before="100" w:beforeAutospacing="1" w:after="100" w:afterAutospacing="1"/>
        <w:textAlignment w:val="baseline"/>
        <w:divId w:val="1531064940"/>
        <w:rPr>
          <w:rFonts w:ascii="Arial" w:hAnsi="Arial" w:cs="Arial"/>
          <w:color w:val="000000"/>
          <w:sz w:val="23"/>
          <w:szCs w:val="23"/>
        </w:rPr>
      </w:pPr>
      <w:r>
        <w:rPr>
          <w:rFonts w:ascii="Verdana" w:hAnsi="Verdana" w:cs="Arial"/>
          <w:b/>
          <w:bCs/>
          <w:color w:val="555555"/>
          <w:sz w:val="17"/>
          <w:szCs w:val="17"/>
        </w:rPr>
        <w:lastRenderedPageBreak/>
        <w:t>California Alternate Performance Assessment (CAPA</w:t>
      </w:r>
      <w:proofErr w:type="gramStart"/>
      <w:r>
        <w:rPr>
          <w:rFonts w:ascii="Verdana" w:hAnsi="Verdana" w:cs="Arial"/>
          <w:b/>
          <w:bCs/>
          <w:color w:val="555555"/>
          <w:sz w:val="17"/>
          <w:szCs w:val="17"/>
        </w:rPr>
        <w:t>)</w:t>
      </w:r>
      <w:r>
        <w:rPr>
          <w:rFonts w:ascii="Verdana" w:hAnsi="Verdana" w:cs="Arial"/>
          <w:color w:val="555555"/>
          <w:sz w:val="17"/>
          <w:szCs w:val="17"/>
        </w:rPr>
        <w:t>,</w:t>
      </w:r>
      <w:proofErr w:type="gramEnd"/>
      <w:r>
        <w:rPr>
          <w:rFonts w:ascii="Verdana" w:hAnsi="Verdana" w:cs="Arial"/>
          <w:color w:val="555555"/>
          <w:sz w:val="17"/>
          <w:szCs w:val="17"/>
        </w:rPr>
        <w:t xml:space="preserve"> includes ELA and mathematics in grades two through eleven, and science for grades five, eight, and ten. The CAPA is given to those students with significant cognitive disabilities whose disabilities prevent them from taking either the CSTs with accommodations or modifications or the CMA with accommodations.</w:t>
      </w:r>
    </w:p>
    <w:p w:rsidR="00DD5B1A" w:rsidRDefault="00DD5B1A">
      <w:pPr>
        <w:divId w:val="1531064940"/>
        <w:rPr>
          <w:color w:val="555555"/>
        </w:rPr>
      </w:pPr>
      <w:r>
        <w:rPr>
          <w:rFonts w:ascii="Verdana" w:hAnsi="Verdana"/>
          <w:color w:val="555555"/>
          <w:sz w:val="17"/>
          <w:szCs w:val="17"/>
        </w:rPr>
        <w:t>The assessments under the STAR Program show how well students are doing in relation to the state content standards. On each of these assessments, student scores are reported as performance levels.</w:t>
      </w:r>
      <w:r>
        <w:rPr>
          <w:color w:val="555555"/>
        </w:rPr>
        <w:br/>
      </w:r>
      <w:r>
        <w:rPr>
          <w:color w:val="555555"/>
        </w:rPr>
        <w:br/>
      </w:r>
      <w:r>
        <w:rPr>
          <w:rFonts w:ascii="Verdana" w:hAnsi="Verdana"/>
          <w:color w:val="555555"/>
          <w:sz w:val="17"/>
          <w:szCs w:val="17"/>
        </w:rPr>
        <w:t>For detailed information regarding the STAR Program results for each grade and performance level, including the percent of students not tested, see the CDE STAR Results Web site at</w:t>
      </w:r>
      <w:hyperlink r:id="rId11" w:history="1">
        <w:r>
          <w:rPr>
            <w:rStyle w:val="Hyperlink"/>
            <w:rFonts w:ascii="Verdana" w:hAnsi="Verdana"/>
            <w:color w:val="555555"/>
            <w:sz w:val="17"/>
            <w:szCs w:val="17"/>
          </w:rPr>
          <w:t xml:space="preserve"> http://star.cde.ca.gov</w:t>
        </w:r>
      </w:hyperlink>
      <w:r>
        <w:rPr>
          <w:rFonts w:ascii="Verdana" w:hAnsi="Verdana"/>
          <w:color w:val="555555"/>
          <w:sz w:val="17"/>
          <w:szCs w:val="17"/>
        </w:rPr>
        <w:t>.</w:t>
      </w:r>
    </w:p>
    <w:p w:rsidR="00DD5B1A" w:rsidRDefault="00DD5B1A">
      <w:pPr>
        <w:pStyle w:val="Heading4"/>
        <w:divId w:val="1531064940"/>
      </w:pPr>
      <w:r>
        <w:rPr>
          <w:color w:val="000000"/>
          <w:sz w:val="23"/>
          <w:szCs w:val="23"/>
        </w:rPr>
        <w:t>Standardized Testing and Reporting Results for All Students – Three-Year Comparison</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1"/>
        <w:gridCol w:w="998"/>
        <w:gridCol w:w="997"/>
        <w:gridCol w:w="997"/>
        <w:gridCol w:w="997"/>
        <w:gridCol w:w="997"/>
        <w:gridCol w:w="997"/>
        <w:gridCol w:w="997"/>
        <w:gridCol w:w="997"/>
        <w:gridCol w:w="997"/>
      </w:tblGrid>
      <w:tr w:rsidR="00DD5B1A">
        <w:trPr>
          <w:divId w:val="153106494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rPr>
                <w:sz w:val="2"/>
              </w:rPr>
            </w:pPr>
            <w:r w:rsidRPr="003626FA">
              <w:rPr>
                <w:rFonts w:ascii="Verdana" w:hAnsi="Verdana"/>
                <w:b/>
                <w:bCs/>
                <w:color w:val="FFFFFF"/>
                <w:sz w:val="18"/>
                <w:szCs w:val="18"/>
                <w:shd w:val="clear" w:color="auto" w:fill="1A4678"/>
              </w:rPr>
              <w:t>Percent of Students Scoring at Proficient or Advanced (meeting or exceeding the state standards)</w:t>
            </w:r>
          </w:p>
        </w:tc>
      </w:tr>
      <w:tr w:rsidR="00DD5B1A">
        <w:trPr>
          <w:divId w:val="15310649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5B1A" w:rsidRDefault="00DD5B1A"/>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rPr>
                <w:sz w:val="2"/>
              </w:rPr>
            </w:pPr>
            <w:r w:rsidRPr="003626FA">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rPr>
                <w:sz w:val="2"/>
              </w:rPr>
            </w:pPr>
            <w:r w:rsidRPr="003626FA">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rPr>
                <w:sz w:val="2"/>
              </w:rPr>
            </w:pPr>
            <w:r w:rsidRPr="003626FA">
              <w:rPr>
                <w:rFonts w:ascii="Verdana" w:hAnsi="Verdana"/>
                <w:b/>
                <w:bCs/>
                <w:color w:val="FFFFFF"/>
                <w:sz w:val="17"/>
                <w:szCs w:val="17"/>
                <w:shd w:val="clear" w:color="auto" w:fill="B02B2E"/>
              </w:rPr>
              <w:t>State</w:t>
            </w:r>
          </w:p>
        </w:tc>
      </w:tr>
      <w:tr w:rsidR="00DD5B1A">
        <w:trPr>
          <w:divId w:val="15310649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5B1A" w:rsidRDefault="00DD5B1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bl>
    <w:p w:rsidR="00DD5B1A" w:rsidRDefault="00DD5B1A">
      <w:pPr>
        <w:divId w:val="1531064940"/>
        <w:rPr>
          <w:color w:val="555555"/>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r>
        <w:rPr>
          <w:rFonts w:ascii="Verdana" w:hAnsi="Verdana"/>
          <w:color w:val="555555"/>
          <w:sz w:val="17"/>
          <w:szCs w:val="17"/>
        </w:rPr>
        <w:t>.</w:t>
      </w:r>
    </w:p>
    <w:p w:rsidR="00DD5B1A" w:rsidRDefault="00DD5B1A">
      <w:pPr>
        <w:pStyle w:val="Heading4"/>
        <w:divId w:val="1531064940"/>
      </w:pPr>
      <w:r>
        <w:rPr>
          <w:color w:val="000000"/>
          <w:sz w:val="23"/>
          <w:szCs w:val="23"/>
        </w:rPr>
        <w:t>Standardized Testing and Reporting Results by Student Group – Most Recent Year</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94"/>
        <w:gridCol w:w="2219"/>
        <w:gridCol w:w="1386"/>
        <w:gridCol w:w="896"/>
        <w:gridCol w:w="2170"/>
      </w:tblGrid>
      <w:tr w:rsidR="00DD5B1A">
        <w:trPr>
          <w:divId w:val="153106494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rPr>
                <w:sz w:val="2"/>
              </w:rPr>
            </w:pPr>
            <w:r w:rsidRPr="003626FA">
              <w:rPr>
                <w:rFonts w:ascii="Verdana" w:hAnsi="Verdana"/>
                <w:b/>
                <w:bCs/>
                <w:color w:val="FFFFFF"/>
                <w:sz w:val="18"/>
                <w:szCs w:val="18"/>
                <w:shd w:val="clear" w:color="auto" w:fill="1A4678"/>
              </w:rPr>
              <w:t>Percent of Students Scoring at Proficient or Advanced</w:t>
            </w:r>
          </w:p>
        </w:tc>
      </w:tr>
      <w:tr w:rsidR="00DD5B1A">
        <w:trPr>
          <w:divId w:val="15310649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5B1A" w:rsidRDefault="00DD5B1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English- Language Arts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Science</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History- Social Science</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88%</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jc w:val="right"/>
            </w:pPr>
            <w:r>
              <w:rPr>
                <w:rFonts w:ascii="Verdana" w:hAnsi="Verdana"/>
                <w:color w:val="666699"/>
                <w:sz w:val="17"/>
                <w:szCs w:val="17"/>
              </w:rPr>
              <w:t>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jc w:val="right"/>
            </w:pPr>
            <w:r>
              <w:rPr>
                <w:rFonts w:ascii="Verdana" w:hAnsi="Verdana"/>
                <w:color w:val="666699"/>
                <w:sz w:val="17"/>
                <w:szCs w:val="17"/>
              </w:rPr>
              <w:t>55%</w:t>
            </w:r>
          </w:p>
        </w:tc>
      </w:tr>
    </w:tbl>
    <w:p w:rsidR="00DD5B1A" w:rsidRDefault="00DD5B1A">
      <w:pPr>
        <w:divId w:val="1531064940"/>
        <w:rPr>
          <w:color w:val="555555"/>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p>
    <w:p w:rsidR="00DD5B1A" w:rsidRDefault="00DD5B1A">
      <w:pPr>
        <w:pStyle w:val="Heading4"/>
        <w:divId w:val="1531064940"/>
      </w:pPr>
      <w:r>
        <w:rPr>
          <w:color w:val="000000"/>
          <w:sz w:val="23"/>
          <w:szCs w:val="23"/>
        </w:rPr>
        <w:lastRenderedPageBreak/>
        <w:t>California High School Exit Examination</w:t>
      </w:r>
    </w:p>
    <w:p w:rsidR="00DD5B1A" w:rsidRDefault="00DD5B1A">
      <w:pPr>
        <w:divId w:val="1531064940"/>
        <w:rPr>
          <w:color w:val="555555"/>
        </w:rPr>
      </w:pPr>
      <w:r>
        <w:rPr>
          <w:rFonts w:ascii="Verdana" w:hAnsi="Verdana"/>
          <w:color w:val="555555"/>
          <w:sz w:val="17"/>
          <w:szCs w:val="17"/>
        </w:rPr>
        <w:t>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NCLB.</w:t>
      </w:r>
      <w:r>
        <w:rPr>
          <w:color w:val="555555"/>
        </w:rPr>
        <w:br/>
      </w:r>
      <w:r>
        <w:rPr>
          <w:color w:val="555555"/>
        </w:rPr>
        <w:br/>
      </w:r>
      <w:r>
        <w:rPr>
          <w:rFonts w:ascii="Verdana" w:hAnsi="Verdana"/>
          <w:i/>
          <w:iCs/>
          <w:color w:val="555555"/>
          <w:sz w:val="17"/>
          <w:szCs w:val="17"/>
        </w:rPr>
        <w:t xml:space="preserve">For detailed information regarding CAHSEE results, see the CDE </w:t>
      </w:r>
      <w:r>
        <w:rPr>
          <w:rFonts w:ascii="Verdana" w:hAnsi="Verdana"/>
          <w:color w:val="555555"/>
          <w:sz w:val="17"/>
          <w:szCs w:val="17"/>
        </w:rPr>
        <w:t>CAHSEE Web site at</w:t>
      </w:r>
      <w:hyperlink r:id="rId12" w:history="1">
        <w:r>
          <w:rPr>
            <w:rStyle w:val="Hyperlink"/>
            <w:rFonts w:ascii="Verdana" w:hAnsi="Verdana"/>
            <w:color w:val="555555"/>
            <w:sz w:val="17"/>
            <w:szCs w:val="17"/>
          </w:rPr>
          <w:t xml:space="preserve"> http://cahsee.cde.ca.gov/</w:t>
        </w:r>
      </w:hyperlink>
      <w:r>
        <w:rPr>
          <w:rFonts w:ascii="Verdana" w:hAnsi="Verdana"/>
          <w:color w:val="555555"/>
          <w:sz w:val="17"/>
          <w:szCs w:val="17"/>
        </w:rPr>
        <w:t>.</w:t>
      </w:r>
    </w:p>
    <w:p w:rsidR="00DD5B1A" w:rsidRDefault="00DD5B1A">
      <w:pPr>
        <w:pStyle w:val="Heading4"/>
        <w:divId w:val="1531064940"/>
      </w:pPr>
      <w:r>
        <w:rPr>
          <w:color w:val="000000"/>
          <w:sz w:val="23"/>
          <w:szCs w:val="23"/>
        </w:rPr>
        <w:t>California High School Exit Examination Results for All Grade Ten Students – Three-Year Comparison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4"/>
        <w:gridCol w:w="977"/>
        <w:gridCol w:w="978"/>
        <w:gridCol w:w="978"/>
        <w:gridCol w:w="978"/>
        <w:gridCol w:w="978"/>
        <w:gridCol w:w="978"/>
        <w:gridCol w:w="978"/>
        <w:gridCol w:w="978"/>
        <w:gridCol w:w="978"/>
      </w:tblGrid>
      <w:tr w:rsidR="00DD5B1A">
        <w:trPr>
          <w:divId w:val="153106494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rPr>
                <w:sz w:val="2"/>
              </w:rPr>
            </w:pPr>
            <w:r w:rsidRPr="003626FA">
              <w:rPr>
                <w:rFonts w:ascii="Verdana" w:hAnsi="Verdana"/>
                <w:b/>
                <w:bCs/>
                <w:color w:val="FFFFFF"/>
                <w:sz w:val="18"/>
                <w:szCs w:val="18"/>
                <w:shd w:val="clear" w:color="auto" w:fill="1A4678"/>
              </w:rPr>
              <w:t>Percent of Students Scoring at Proficient or Advanced</w:t>
            </w:r>
          </w:p>
        </w:tc>
      </w:tr>
      <w:tr w:rsidR="00DD5B1A">
        <w:trPr>
          <w:divId w:val="15310649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5B1A" w:rsidRDefault="00DD5B1A"/>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rPr>
                <w:sz w:val="2"/>
              </w:rPr>
            </w:pPr>
            <w:r w:rsidRPr="003626FA">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rPr>
                <w:sz w:val="2"/>
              </w:rPr>
            </w:pPr>
            <w:r w:rsidRPr="003626FA">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rPr>
                <w:sz w:val="2"/>
              </w:rPr>
            </w:pPr>
            <w:r w:rsidRPr="003626FA">
              <w:rPr>
                <w:rFonts w:ascii="Verdana" w:hAnsi="Verdana"/>
                <w:b/>
                <w:bCs/>
                <w:color w:val="FFFFFF"/>
                <w:sz w:val="17"/>
                <w:szCs w:val="17"/>
                <w:shd w:val="clear" w:color="auto" w:fill="B02B2E"/>
              </w:rPr>
              <w:t>State</w:t>
            </w:r>
          </w:p>
        </w:tc>
      </w:tr>
      <w:tr w:rsidR="00DD5B1A">
        <w:trPr>
          <w:divId w:val="15310649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5B1A" w:rsidRDefault="00DD5B1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59%</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83%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56%</w:t>
            </w:r>
          </w:p>
        </w:tc>
      </w:tr>
    </w:tbl>
    <w:p w:rsidR="00DD5B1A" w:rsidRDefault="00DD5B1A">
      <w:pPr>
        <w:divId w:val="1531064940"/>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DD5B1A" w:rsidRDefault="00DD5B1A">
      <w:pPr>
        <w:pStyle w:val="Heading4"/>
        <w:divId w:val="1531064940"/>
      </w:pPr>
      <w:r>
        <w:rPr>
          <w:color w:val="000000"/>
          <w:sz w:val="23"/>
          <w:szCs w:val="23"/>
        </w:rPr>
        <w:t>California High School Exit Examination Grade Ten Results by Student Group – Most Recent Year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31"/>
        <w:gridCol w:w="1373"/>
        <w:gridCol w:w="1096"/>
        <w:gridCol w:w="1098"/>
        <w:gridCol w:w="1373"/>
        <w:gridCol w:w="1096"/>
        <w:gridCol w:w="1098"/>
      </w:tblGrid>
      <w:tr w:rsidR="00DD5B1A">
        <w:trPr>
          <w:divId w:val="153106494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rPr>
                <w:sz w:val="2"/>
              </w:rPr>
            </w:pPr>
            <w:r w:rsidRPr="003626FA">
              <w:rPr>
                <w:rFonts w:ascii="Verdana" w:hAnsi="Verdana"/>
                <w:b/>
                <w:bCs/>
                <w:color w:val="FFFFFF"/>
                <w:sz w:val="18"/>
                <w:szCs w:val="18"/>
                <w:shd w:val="clear" w:color="auto" w:fill="1A4678"/>
              </w:rPr>
              <w:t>English-Language Arts</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rPr>
                <w:sz w:val="2"/>
              </w:rPr>
            </w:pPr>
            <w:r w:rsidRPr="003626FA">
              <w:rPr>
                <w:rFonts w:ascii="Verdana" w:hAnsi="Verdana"/>
                <w:b/>
                <w:bCs/>
                <w:color w:val="FFFFFF"/>
                <w:sz w:val="18"/>
                <w:szCs w:val="18"/>
                <w:shd w:val="clear" w:color="auto" w:fill="1A4678"/>
              </w:rPr>
              <w:t>Mathematics</w:t>
            </w:r>
          </w:p>
        </w:tc>
      </w:tr>
      <w:tr w:rsidR="00DD5B1A">
        <w:trPr>
          <w:divId w:val="15310649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5B1A" w:rsidRDefault="00DD5B1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44</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55</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19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56</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66</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83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17</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43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36</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83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13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r>
    </w:tbl>
    <w:p w:rsidR="00DD5B1A" w:rsidRDefault="00DD5B1A">
      <w:pPr>
        <w:divId w:val="1531064940"/>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486BFA" w:rsidRDefault="00486BFA">
      <w:pPr>
        <w:pStyle w:val="Heading4"/>
        <w:divId w:val="1531064940"/>
        <w:rPr>
          <w:color w:val="000000"/>
          <w:sz w:val="23"/>
          <w:szCs w:val="23"/>
        </w:rPr>
      </w:pPr>
    </w:p>
    <w:p w:rsidR="00DD5B1A" w:rsidRDefault="00DD5B1A">
      <w:pPr>
        <w:pStyle w:val="Heading4"/>
        <w:divId w:val="1531064940"/>
      </w:pPr>
      <w:r>
        <w:rPr>
          <w:color w:val="000000"/>
          <w:sz w:val="23"/>
          <w:szCs w:val="23"/>
        </w:rPr>
        <w:lastRenderedPageBreak/>
        <w:t>California Physical Fitness Test Results (School Year 2010–11)</w:t>
      </w:r>
    </w:p>
    <w:p w:rsidR="00DD5B1A" w:rsidRDefault="00DD5B1A">
      <w:pPr>
        <w:divId w:val="1531064940"/>
        <w:rPr>
          <w:color w:val="555555"/>
        </w:rPr>
      </w:pPr>
      <w:r>
        <w:rPr>
          <w:rFonts w:ascii="Verdana" w:hAnsi="Verdana"/>
          <w:color w:val="555555"/>
          <w:sz w:val="17"/>
          <w:szCs w:val="17"/>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7"/>
          <w:szCs w:val="17"/>
        </w:rPr>
        <w:t>PFT</w:t>
      </w:r>
      <w:r>
        <w:rPr>
          <w:rFonts w:ascii="Verdana" w:hAnsi="Verdana"/>
          <w:color w:val="555555"/>
          <w:sz w:val="17"/>
          <w:szCs w:val="17"/>
        </w:rPr>
        <w:t xml:space="preserve"> Web page at</w:t>
      </w:r>
      <w:hyperlink r:id="rId13" w:history="1">
        <w:r>
          <w:rPr>
            <w:rStyle w:val="Hyperlink"/>
            <w:rFonts w:ascii="Verdana" w:hAnsi="Verdana"/>
            <w:color w:val="555555"/>
            <w:sz w:val="17"/>
            <w:szCs w:val="17"/>
          </w:rPr>
          <w:t xml:space="preserve"> http://www.cde.ca.gov/ta/tg/pf/</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95"/>
        <w:gridCol w:w="2228"/>
        <w:gridCol w:w="2188"/>
        <w:gridCol w:w="2088"/>
      </w:tblGrid>
      <w:tr w:rsidR="00DD5B1A">
        <w:trPr>
          <w:divId w:val="153106494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rPr>
                <w:sz w:val="2"/>
              </w:rPr>
            </w:pPr>
            <w:r w:rsidRPr="003626FA">
              <w:rPr>
                <w:rFonts w:ascii="Verdana" w:hAnsi="Verdana"/>
                <w:b/>
                <w:bCs/>
                <w:color w:val="FFFFFF"/>
                <w:sz w:val="18"/>
                <w:szCs w:val="18"/>
                <w:shd w:val="clear" w:color="auto" w:fill="1A4678"/>
              </w:rPr>
              <w:t>Percent of Students Meeting Fitness Standards</w:t>
            </w:r>
          </w:p>
        </w:tc>
      </w:tr>
      <w:tr w:rsidR="00DD5B1A">
        <w:trPr>
          <w:divId w:val="15310649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5B1A" w:rsidRDefault="00DD5B1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Four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Five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Six of Six Standards</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30.50%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37.40%</w:t>
            </w:r>
          </w:p>
        </w:tc>
      </w:tr>
    </w:tbl>
    <w:p w:rsidR="00DD5B1A" w:rsidRDefault="00DD5B1A">
      <w:pPr>
        <w:divId w:val="1531064940"/>
        <w:rPr>
          <w:color w:val="555555"/>
        </w:rPr>
      </w:pP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486BFA" w:rsidRDefault="00486BFA">
      <w:pPr>
        <w:pStyle w:val="Heading2"/>
        <w:divId w:val="1531064940"/>
        <w:rPr>
          <w:color w:val="000000"/>
          <w:sz w:val="32"/>
          <w:szCs w:val="32"/>
        </w:rPr>
      </w:pPr>
    </w:p>
    <w:p w:rsidR="00DD5B1A" w:rsidRDefault="00DD5B1A">
      <w:pPr>
        <w:pStyle w:val="Heading2"/>
        <w:divId w:val="1531064940"/>
      </w:pPr>
      <w:r>
        <w:rPr>
          <w:color w:val="000000"/>
          <w:sz w:val="32"/>
          <w:szCs w:val="32"/>
        </w:rPr>
        <w:t>X. Accountability</w:t>
      </w:r>
    </w:p>
    <w:p w:rsidR="00DD5B1A" w:rsidRDefault="00DD5B1A">
      <w:pPr>
        <w:pStyle w:val="Heading4"/>
        <w:divId w:val="1531064940"/>
      </w:pPr>
      <w:r>
        <w:rPr>
          <w:color w:val="000000"/>
          <w:sz w:val="23"/>
          <w:szCs w:val="23"/>
        </w:rPr>
        <w:t>Academic Performance Index</w:t>
      </w:r>
    </w:p>
    <w:p w:rsidR="00DD5B1A" w:rsidRDefault="00DD5B1A">
      <w:pPr>
        <w:divId w:val="1531064940"/>
        <w:rPr>
          <w:color w:val="555555"/>
        </w:rPr>
      </w:pPr>
      <w:r>
        <w:rPr>
          <w:rFonts w:ascii="Verdana" w:hAnsi="Verdana"/>
          <w:color w:val="555555"/>
          <w:sz w:val="17"/>
          <w:szCs w:val="17"/>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7"/>
          <w:szCs w:val="17"/>
        </w:rPr>
        <w:t>API</w:t>
      </w:r>
      <w:r>
        <w:rPr>
          <w:rFonts w:ascii="Verdana" w:hAnsi="Verdana"/>
          <w:color w:val="555555"/>
          <w:sz w:val="17"/>
          <w:szCs w:val="17"/>
        </w:rPr>
        <w:t xml:space="preserve"> </w:t>
      </w:r>
      <w:r>
        <w:rPr>
          <w:rFonts w:ascii="Verdana" w:hAnsi="Verdana"/>
          <w:i/>
          <w:iCs/>
          <w:color w:val="555555"/>
          <w:sz w:val="17"/>
          <w:szCs w:val="17"/>
        </w:rPr>
        <w:t>Web page at</w:t>
      </w:r>
      <w:hyperlink r:id="rId14"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http://www.cde.ca.gov/ta/ac/ap/</w:t>
        </w:r>
      </w:hyperlink>
      <w:r>
        <w:rPr>
          <w:rFonts w:ascii="Verdana" w:hAnsi="Verdana"/>
          <w:color w:val="555555"/>
          <w:sz w:val="17"/>
          <w:szCs w:val="17"/>
        </w:rPr>
        <w:t>.</w:t>
      </w:r>
    </w:p>
    <w:p w:rsidR="00DD5B1A" w:rsidRDefault="00DD5B1A">
      <w:pPr>
        <w:pStyle w:val="Heading4"/>
        <w:divId w:val="1531064940"/>
      </w:pPr>
      <w:r>
        <w:rPr>
          <w:color w:val="000000"/>
          <w:sz w:val="23"/>
          <w:szCs w:val="23"/>
        </w:rPr>
        <w:t>Academic Performance Index Ranks – Three-Year Comparison</w:t>
      </w:r>
    </w:p>
    <w:p w:rsidR="00DD5B1A" w:rsidRDefault="00DD5B1A">
      <w:pPr>
        <w:divId w:val="1531064940"/>
        <w:rPr>
          <w:color w:val="555555"/>
        </w:rPr>
      </w:pPr>
      <w:r>
        <w:rPr>
          <w:rFonts w:ascii="Verdana" w:hAnsi="Verdana"/>
          <w:color w:val="555555"/>
          <w:sz w:val="17"/>
          <w:szCs w:val="17"/>
        </w:rPr>
        <w:t xml:space="preserve">This table displays the school’s statewide and similar schools’ API ranks. </w:t>
      </w:r>
      <w:proofErr w:type="gramStart"/>
      <w:r>
        <w:rPr>
          <w:rFonts w:ascii="Verdana" w:hAnsi="Verdana"/>
          <w:color w:val="555555"/>
          <w:sz w:val="17"/>
          <w:szCs w:val="17"/>
        </w:rPr>
        <w:t xml:space="preserve">The </w:t>
      </w:r>
      <w:r>
        <w:rPr>
          <w:rFonts w:ascii="Verdana" w:hAnsi="Verdana"/>
          <w:b/>
          <w:bCs/>
          <w:i/>
          <w:iCs/>
          <w:color w:val="555555"/>
          <w:sz w:val="17"/>
          <w:szCs w:val="17"/>
        </w:rPr>
        <w:t>statewide API rank</w:t>
      </w:r>
      <w:r>
        <w:rPr>
          <w:rFonts w:ascii="Verdana" w:hAnsi="Verdana"/>
          <w:color w:val="555555"/>
          <w:sz w:val="17"/>
          <w:szCs w:val="17"/>
        </w:rPr>
        <w:t xml:space="preserve"> ranges from 1 to 10.</w:t>
      </w:r>
      <w:proofErr w:type="gramEnd"/>
      <w:r>
        <w:rPr>
          <w:rFonts w:ascii="Verdana" w:hAnsi="Verdana"/>
          <w:color w:val="555555"/>
          <w:sz w:val="17"/>
          <w:szCs w:val="17"/>
        </w:rPr>
        <w:t xml:space="preserve"> A statewide rank of 1 means that the school has an API score in the lowest ten percent of all schools in the state, while a statewide rank of 10 means that the school has an API score in the highest ten percent of all schools in the state.</w:t>
      </w:r>
      <w:r>
        <w:rPr>
          <w:color w:val="555555"/>
        </w:rPr>
        <w:br/>
      </w:r>
      <w:r>
        <w:rPr>
          <w:color w:val="555555"/>
        </w:rPr>
        <w:br/>
      </w:r>
      <w:r>
        <w:rPr>
          <w:rFonts w:ascii="Verdana" w:hAnsi="Verdana"/>
          <w:color w:val="555555"/>
          <w:sz w:val="17"/>
          <w:szCs w:val="17"/>
        </w:rPr>
        <w:t xml:space="preserve">The </w:t>
      </w:r>
      <w:r>
        <w:rPr>
          <w:rFonts w:ascii="Verdana" w:hAnsi="Verdana"/>
          <w:b/>
          <w:bCs/>
          <w:i/>
          <w:iCs/>
          <w:color w:val="555555"/>
          <w:sz w:val="17"/>
          <w:szCs w:val="17"/>
        </w:rPr>
        <w:t>similar schools API rank</w:t>
      </w:r>
      <w:r>
        <w:rPr>
          <w:rFonts w:ascii="Verdana" w:hAnsi="Verdana"/>
          <w:color w:val="555555"/>
          <w:sz w:val="17"/>
          <w:szCs w:val="17"/>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6"/>
        <w:gridCol w:w="712"/>
        <w:gridCol w:w="712"/>
        <w:gridCol w:w="712"/>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API Rank</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2008</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Similar Schools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r>
    </w:tbl>
    <w:p w:rsidR="00486BFA" w:rsidRDefault="00486BFA">
      <w:pPr>
        <w:pStyle w:val="Heading4"/>
        <w:divId w:val="1531064940"/>
        <w:rPr>
          <w:rFonts w:ascii="Times New Roman" w:hAnsi="Times New Roman" w:cs="Times New Roman"/>
          <w:b w:val="0"/>
          <w:bCs w:val="0"/>
          <w:color w:val="555555"/>
          <w:sz w:val="24"/>
          <w:szCs w:val="24"/>
        </w:rPr>
      </w:pPr>
    </w:p>
    <w:p w:rsidR="00486BFA" w:rsidRDefault="00486BFA">
      <w:pPr>
        <w:pStyle w:val="Heading4"/>
        <w:divId w:val="1531064940"/>
        <w:rPr>
          <w:rFonts w:ascii="Times New Roman" w:hAnsi="Times New Roman" w:cs="Times New Roman"/>
          <w:b w:val="0"/>
          <w:bCs w:val="0"/>
          <w:color w:val="555555"/>
          <w:sz w:val="24"/>
          <w:szCs w:val="24"/>
        </w:rPr>
      </w:pPr>
    </w:p>
    <w:p w:rsidR="00486BFA" w:rsidRDefault="00486BFA">
      <w:pPr>
        <w:pStyle w:val="Heading4"/>
        <w:divId w:val="1531064940"/>
        <w:rPr>
          <w:rFonts w:ascii="Times New Roman" w:hAnsi="Times New Roman" w:cs="Times New Roman"/>
          <w:b w:val="0"/>
          <w:bCs w:val="0"/>
          <w:color w:val="555555"/>
          <w:sz w:val="24"/>
          <w:szCs w:val="24"/>
        </w:rPr>
      </w:pPr>
    </w:p>
    <w:p w:rsidR="00486BFA" w:rsidRDefault="00486BFA">
      <w:pPr>
        <w:pStyle w:val="Heading4"/>
        <w:divId w:val="1531064940"/>
        <w:rPr>
          <w:rFonts w:ascii="Times New Roman" w:hAnsi="Times New Roman" w:cs="Times New Roman"/>
          <w:b w:val="0"/>
          <w:bCs w:val="0"/>
          <w:color w:val="555555"/>
          <w:sz w:val="24"/>
          <w:szCs w:val="24"/>
        </w:rPr>
      </w:pPr>
    </w:p>
    <w:p w:rsidR="00486BFA" w:rsidRDefault="00486BFA">
      <w:pPr>
        <w:pStyle w:val="Heading4"/>
        <w:divId w:val="1531064940"/>
        <w:rPr>
          <w:rFonts w:ascii="Times New Roman" w:hAnsi="Times New Roman" w:cs="Times New Roman"/>
          <w:b w:val="0"/>
          <w:bCs w:val="0"/>
          <w:color w:val="555555"/>
          <w:sz w:val="24"/>
          <w:szCs w:val="24"/>
        </w:rPr>
      </w:pPr>
    </w:p>
    <w:p w:rsidR="00486BFA" w:rsidRDefault="00486BFA">
      <w:pPr>
        <w:pStyle w:val="Heading4"/>
        <w:divId w:val="1531064940"/>
        <w:rPr>
          <w:rFonts w:ascii="Times New Roman" w:hAnsi="Times New Roman" w:cs="Times New Roman"/>
          <w:b w:val="0"/>
          <w:bCs w:val="0"/>
          <w:color w:val="555555"/>
          <w:sz w:val="24"/>
          <w:szCs w:val="24"/>
        </w:rPr>
      </w:pPr>
    </w:p>
    <w:p w:rsidR="00486BFA" w:rsidRDefault="00486BFA">
      <w:pPr>
        <w:pStyle w:val="Heading4"/>
        <w:divId w:val="1531064940"/>
        <w:rPr>
          <w:rFonts w:ascii="Times New Roman" w:hAnsi="Times New Roman" w:cs="Times New Roman"/>
          <w:b w:val="0"/>
          <w:bCs w:val="0"/>
          <w:color w:val="555555"/>
          <w:sz w:val="24"/>
          <w:szCs w:val="24"/>
        </w:rPr>
      </w:pPr>
    </w:p>
    <w:p w:rsidR="00486BFA" w:rsidRDefault="00486BFA">
      <w:pPr>
        <w:pStyle w:val="Heading4"/>
        <w:divId w:val="1531064940"/>
        <w:rPr>
          <w:rFonts w:ascii="Times New Roman" w:hAnsi="Times New Roman" w:cs="Times New Roman"/>
          <w:b w:val="0"/>
          <w:bCs w:val="0"/>
          <w:color w:val="555555"/>
          <w:sz w:val="24"/>
          <w:szCs w:val="24"/>
        </w:rPr>
      </w:pPr>
    </w:p>
    <w:p w:rsidR="00486BFA" w:rsidRDefault="00486BFA">
      <w:pPr>
        <w:pStyle w:val="Heading4"/>
        <w:divId w:val="1531064940"/>
        <w:rPr>
          <w:rFonts w:ascii="Times New Roman" w:hAnsi="Times New Roman" w:cs="Times New Roman"/>
          <w:b w:val="0"/>
          <w:bCs w:val="0"/>
          <w:color w:val="555555"/>
          <w:sz w:val="24"/>
          <w:szCs w:val="24"/>
        </w:rPr>
      </w:pPr>
    </w:p>
    <w:p w:rsidR="00DD5B1A" w:rsidRDefault="00DD5B1A">
      <w:pPr>
        <w:pStyle w:val="Heading4"/>
        <w:divId w:val="1531064940"/>
      </w:pPr>
      <w:r>
        <w:rPr>
          <w:color w:val="000000"/>
          <w:sz w:val="23"/>
          <w:szCs w:val="23"/>
        </w:rPr>
        <w:lastRenderedPageBreak/>
        <w:t>Academic Performance Index Growth by Student Group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74"/>
        <w:gridCol w:w="2582"/>
        <w:gridCol w:w="2582"/>
        <w:gridCol w:w="2582"/>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2010–11</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r>
    </w:tbl>
    <w:p w:rsidR="00DD5B1A" w:rsidRDefault="00DD5B1A">
      <w:pPr>
        <w:divId w:val="1531064940"/>
        <w:rPr>
          <w:color w:val="555555"/>
        </w:rPr>
      </w:pPr>
      <w:r>
        <w:rPr>
          <w:color w:val="555555"/>
        </w:rPr>
        <w:br/>
      </w:r>
      <w:r>
        <w:rPr>
          <w:rFonts w:ascii="Verdana" w:hAnsi="Verdana"/>
          <w:color w:val="555555"/>
          <w:sz w:val="17"/>
          <w:szCs w:val="17"/>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DD5B1A" w:rsidRDefault="00DD5B1A">
      <w:pPr>
        <w:pStyle w:val="Heading4"/>
        <w:divId w:val="1531064940"/>
      </w:pPr>
      <w:r>
        <w:rPr>
          <w:color w:val="000000"/>
          <w:sz w:val="23"/>
          <w:szCs w:val="23"/>
        </w:rPr>
        <w:t>Academic Performance Index Growth by Student Group – 2011 Growth API Comparison</w:t>
      </w:r>
    </w:p>
    <w:p w:rsidR="00DD5B1A" w:rsidRDefault="00DD5B1A">
      <w:pPr>
        <w:divId w:val="1531064940"/>
        <w:rPr>
          <w:color w:val="555555"/>
        </w:rPr>
      </w:pPr>
      <w:r>
        <w:rPr>
          <w:rFonts w:ascii="Verdana" w:hAnsi="Verdana"/>
          <w:color w:val="555555"/>
          <w:sz w:val="17"/>
          <w:szCs w:val="17"/>
        </w:rPr>
        <w:t>This table displays, by student group, the number of students included in the API and the 2011 Growth API at the school, LEA, and state level.</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49"/>
        <w:gridCol w:w="1903"/>
        <w:gridCol w:w="804"/>
        <w:gridCol w:w="1903"/>
        <w:gridCol w:w="527"/>
        <w:gridCol w:w="1906"/>
        <w:gridCol w:w="673"/>
      </w:tblGrid>
      <w:tr w:rsidR="00DD5B1A">
        <w:trPr>
          <w:divId w:val="153106494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6"/>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jc w:val="center"/>
              <w:rPr>
                <w:sz w:val="2"/>
              </w:rPr>
            </w:pPr>
            <w:r w:rsidRPr="003626FA">
              <w:rPr>
                <w:rFonts w:ascii="Verdana" w:hAnsi="Verdana"/>
                <w:b/>
                <w:bCs/>
                <w:color w:val="FFFFFF"/>
                <w:sz w:val="18"/>
                <w:szCs w:val="18"/>
                <w:shd w:val="clear" w:color="auto" w:fill="1A4678"/>
              </w:rPr>
              <w:t>2011 Growth API</w:t>
            </w:r>
          </w:p>
        </w:tc>
      </w:tr>
      <w:tr w:rsidR="00DD5B1A">
        <w:trPr>
          <w:divId w:val="15310649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5B1A" w:rsidRDefault="00DD5B1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LEA</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13,537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4,683,676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778</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317,856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696</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1,193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882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398,869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898</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859</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2,406,749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729</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26,953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764</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1,258,831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845</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76,766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836</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2,731,843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726</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1,521,844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707</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521,815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595</w:t>
            </w:r>
          </w:p>
        </w:tc>
      </w:tr>
    </w:tbl>
    <w:p w:rsidR="00DD5B1A" w:rsidRDefault="00DD5B1A">
      <w:pPr>
        <w:divId w:val="1531064940"/>
        <w:rPr>
          <w:color w:val="555555"/>
        </w:rPr>
      </w:pPr>
    </w:p>
    <w:p w:rsidR="00486BFA" w:rsidRDefault="00486BFA">
      <w:pPr>
        <w:pStyle w:val="Heading4"/>
        <w:divId w:val="1531064940"/>
        <w:rPr>
          <w:color w:val="000000"/>
          <w:sz w:val="23"/>
          <w:szCs w:val="23"/>
        </w:rPr>
      </w:pPr>
    </w:p>
    <w:p w:rsidR="00DD5B1A" w:rsidRDefault="00DD5B1A">
      <w:pPr>
        <w:pStyle w:val="Heading4"/>
        <w:divId w:val="1531064940"/>
      </w:pPr>
      <w:r>
        <w:rPr>
          <w:color w:val="000000"/>
          <w:sz w:val="23"/>
          <w:szCs w:val="23"/>
        </w:rPr>
        <w:lastRenderedPageBreak/>
        <w:t>Adequate Yearly Progress</w:t>
      </w:r>
    </w:p>
    <w:p w:rsidR="00DD5B1A" w:rsidRDefault="00DD5B1A">
      <w:pPr>
        <w:divId w:val="1531064940"/>
        <w:rPr>
          <w:color w:val="555555"/>
        </w:rPr>
      </w:pPr>
      <w:r>
        <w:rPr>
          <w:rFonts w:ascii="Verdana" w:hAnsi="Verdana"/>
          <w:color w:val="555555"/>
          <w:sz w:val="17"/>
          <w:szCs w:val="17"/>
        </w:rPr>
        <w:t>The federal ESEA requires that all schools and districts meet the following Adequate Yearly Progress (AYP) criteria:</w:t>
      </w:r>
    </w:p>
    <w:p w:rsidR="00DD5B1A" w:rsidRDefault="00DD5B1A">
      <w:pPr>
        <w:numPr>
          <w:ilvl w:val="0"/>
          <w:numId w:val="4"/>
        </w:numPr>
        <w:spacing w:before="100" w:beforeAutospacing="1" w:after="100" w:afterAutospacing="1"/>
        <w:textAlignment w:val="baseline"/>
        <w:divId w:val="1531064940"/>
        <w:rPr>
          <w:rFonts w:ascii="Arial" w:hAnsi="Arial" w:cs="Arial"/>
          <w:color w:val="000000"/>
          <w:sz w:val="23"/>
          <w:szCs w:val="23"/>
        </w:rPr>
      </w:pPr>
      <w:r>
        <w:rPr>
          <w:rFonts w:ascii="Verdana" w:hAnsi="Verdana" w:cs="Arial"/>
          <w:color w:val="555555"/>
          <w:sz w:val="17"/>
          <w:szCs w:val="17"/>
        </w:rPr>
        <w:t>Participation rate on the state’s standards-based assessments in ELA and mathematics</w:t>
      </w:r>
    </w:p>
    <w:p w:rsidR="00DD5B1A" w:rsidRDefault="00DD5B1A">
      <w:pPr>
        <w:numPr>
          <w:ilvl w:val="0"/>
          <w:numId w:val="4"/>
        </w:numPr>
        <w:spacing w:before="100" w:beforeAutospacing="1" w:after="100" w:afterAutospacing="1"/>
        <w:textAlignment w:val="baseline"/>
        <w:divId w:val="1531064940"/>
        <w:rPr>
          <w:rFonts w:ascii="Arial" w:hAnsi="Arial" w:cs="Arial"/>
          <w:color w:val="000000"/>
          <w:sz w:val="23"/>
          <w:szCs w:val="23"/>
        </w:rPr>
      </w:pPr>
      <w:r>
        <w:rPr>
          <w:rFonts w:ascii="Verdana" w:hAnsi="Verdana" w:cs="Arial"/>
          <w:color w:val="555555"/>
          <w:sz w:val="17"/>
          <w:szCs w:val="17"/>
        </w:rPr>
        <w:t>Percent proficient on the state’s standards-based assessments in ELA and mathematics</w:t>
      </w:r>
    </w:p>
    <w:p w:rsidR="00DD5B1A" w:rsidRDefault="00DD5B1A">
      <w:pPr>
        <w:numPr>
          <w:ilvl w:val="0"/>
          <w:numId w:val="4"/>
        </w:numPr>
        <w:spacing w:before="100" w:beforeAutospacing="1" w:after="100" w:afterAutospacing="1"/>
        <w:textAlignment w:val="baseline"/>
        <w:divId w:val="1531064940"/>
        <w:rPr>
          <w:rFonts w:ascii="Arial" w:hAnsi="Arial" w:cs="Arial"/>
          <w:color w:val="000000"/>
          <w:sz w:val="23"/>
          <w:szCs w:val="23"/>
        </w:rPr>
      </w:pPr>
      <w:r>
        <w:rPr>
          <w:rFonts w:ascii="Verdana" w:hAnsi="Verdana" w:cs="Arial"/>
          <w:color w:val="555555"/>
          <w:sz w:val="17"/>
          <w:szCs w:val="17"/>
        </w:rPr>
        <w:t>API as an additional indicator</w:t>
      </w:r>
    </w:p>
    <w:p w:rsidR="00DD5B1A" w:rsidRDefault="00DD5B1A">
      <w:pPr>
        <w:numPr>
          <w:ilvl w:val="0"/>
          <w:numId w:val="4"/>
        </w:numPr>
        <w:spacing w:before="100" w:beforeAutospacing="1" w:after="100" w:afterAutospacing="1"/>
        <w:textAlignment w:val="baseline"/>
        <w:divId w:val="1531064940"/>
        <w:rPr>
          <w:rFonts w:ascii="Arial" w:hAnsi="Arial" w:cs="Arial"/>
          <w:color w:val="000000"/>
          <w:sz w:val="23"/>
          <w:szCs w:val="23"/>
        </w:rPr>
      </w:pPr>
      <w:r>
        <w:rPr>
          <w:rFonts w:ascii="Verdana" w:hAnsi="Verdana" w:cs="Arial"/>
          <w:color w:val="555555"/>
          <w:sz w:val="17"/>
          <w:szCs w:val="17"/>
        </w:rPr>
        <w:t>Graduation rate (for secondary schools)</w:t>
      </w:r>
    </w:p>
    <w:p w:rsidR="00DD5B1A" w:rsidRDefault="00DD5B1A">
      <w:pPr>
        <w:divId w:val="1531064940"/>
        <w:rPr>
          <w:color w:val="555555"/>
        </w:rPr>
      </w:pPr>
      <w:r>
        <w:rPr>
          <w:color w:val="555555"/>
        </w:rPr>
        <w:br/>
      </w:r>
      <w:r>
        <w:rPr>
          <w:color w:val="555555"/>
        </w:rPr>
        <w:br/>
      </w:r>
      <w:r>
        <w:rPr>
          <w:rFonts w:ascii="Verdana" w:hAnsi="Verdana"/>
          <w:color w:val="555555"/>
          <w:sz w:val="17"/>
          <w:szCs w:val="17"/>
        </w:rPr>
        <w:t xml:space="preserve">For detailed information about AYP, including participation rates and percent proficient results by student group, see the CDE </w:t>
      </w:r>
      <w:r>
        <w:rPr>
          <w:rFonts w:ascii="Verdana" w:hAnsi="Verdana"/>
          <w:i/>
          <w:iCs/>
          <w:color w:val="555555"/>
          <w:sz w:val="17"/>
          <w:szCs w:val="17"/>
        </w:rPr>
        <w:t>AYP</w:t>
      </w:r>
      <w:r>
        <w:rPr>
          <w:rFonts w:ascii="Verdana" w:hAnsi="Verdana"/>
          <w:color w:val="555555"/>
          <w:sz w:val="17"/>
          <w:szCs w:val="17"/>
        </w:rPr>
        <w:t xml:space="preserve"> </w:t>
      </w:r>
      <w:r>
        <w:rPr>
          <w:rFonts w:ascii="Verdana" w:hAnsi="Verdana"/>
          <w:i/>
          <w:iCs/>
          <w:color w:val="555555"/>
          <w:sz w:val="17"/>
          <w:szCs w:val="17"/>
        </w:rPr>
        <w:t>Web page at</w:t>
      </w:r>
      <w:hyperlink r:id="rId15"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http://www.cde.ca.gov/ta/ac/ay/</w:t>
        </w:r>
      </w:hyperlink>
      <w:r>
        <w:rPr>
          <w:rFonts w:ascii="Verdana" w:hAnsi="Verdana"/>
          <w:color w:val="555555"/>
          <w:sz w:val="17"/>
          <w:szCs w:val="17"/>
        </w:rPr>
        <w:t>.</w:t>
      </w:r>
    </w:p>
    <w:p w:rsidR="00DD5B1A" w:rsidRDefault="00DD5B1A">
      <w:pPr>
        <w:pStyle w:val="Heading4"/>
        <w:divId w:val="1531064940"/>
      </w:pPr>
      <w:r>
        <w:rPr>
          <w:color w:val="000000"/>
          <w:sz w:val="23"/>
          <w:szCs w:val="23"/>
        </w:rPr>
        <w:t>Adequate Yearly Progress Overall and by Criteria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2"/>
        <w:gridCol w:w="871"/>
        <w:gridCol w:w="939"/>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AYP Criteria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Made AYP Overall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API Criteria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bl>
    <w:p w:rsidR="00DD5B1A" w:rsidRDefault="00DD5B1A">
      <w:pPr>
        <w:divId w:val="1531064940"/>
        <w:rPr>
          <w:color w:val="555555"/>
        </w:rPr>
      </w:pPr>
    </w:p>
    <w:p w:rsidR="00DD5B1A" w:rsidRDefault="00DD5B1A">
      <w:pPr>
        <w:pStyle w:val="Heading4"/>
        <w:divId w:val="1531064940"/>
      </w:pPr>
      <w:r>
        <w:rPr>
          <w:color w:val="000000"/>
          <w:sz w:val="23"/>
          <w:szCs w:val="23"/>
        </w:rPr>
        <w:t>Federal Intervention Program (School Year 2011–12)</w:t>
      </w:r>
    </w:p>
    <w:p w:rsidR="00DD5B1A" w:rsidRDefault="00DD5B1A">
      <w:pPr>
        <w:divId w:val="1531064940"/>
        <w:rPr>
          <w:color w:val="555555"/>
        </w:rPr>
      </w:pPr>
      <w:r>
        <w:rPr>
          <w:rFonts w:ascii="Verdana" w:hAnsi="Verdana"/>
          <w:color w:val="555555"/>
          <w:sz w:val="17"/>
          <w:szCs w:val="17"/>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7"/>
          <w:szCs w:val="17"/>
        </w:rPr>
        <w:t>PI Status Determinations</w:t>
      </w:r>
      <w:r>
        <w:rPr>
          <w:rFonts w:ascii="Verdana" w:hAnsi="Verdana"/>
          <w:color w:val="555555"/>
          <w:sz w:val="17"/>
          <w:szCs w:val="17"/>
        </w:rPr>
        <w:t xml:space="preserve"> </w:t>
      </w:r>
      <w:r>
        <w:rPr>
          <w:rFonts w:ascii="Verdana" w:hAnsi="Verdana"/>
          <w:i/>
          <w:iCs/>
          <w:color w:val="555555"/>
          <w:sz w:val="17"/>
          <w:szCs w:val="17"/>
        </w:rPr>
        <w:t>Web</w:t>
      </w:r>
      <w:r>
        <w:rPr>
          <w:rFonts w:ascii="Verdana" w:hAnsi="Verdana"/>
          <w:color w:val="555555"/>
          <w:sz w:val="17"/>
          <w:szCs w:val="17"/>
        </w:rPr>
        <w:t xml:space="preserve"> page:</w:t>
      </w:r>
      <w:hyperlink r:id="rId16" w:history="1">
        <w:r>
          <w:rPr>
            <w:rStyle w:val="Hyperlink"/>
            <w:rFonts w:ascii="Verdana" w:hAnsi="Verdana"/>
            <w:color w:val="555555"/>
            <w:sz w:val="17"/>
            <w:szCs w:val="17"/>
          </w:rPr>
          <w:t xml:space="preserve"> http://www.cde.ca.gov/ta/ac/ay/tidetermine.asp</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96"/>
        <w:gridCol w:w="1102"/>
        <w:gridCol w:w="1102"/>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Program Improvement Status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First Year of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2010-2011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2008-2009</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Year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3</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38.9%</w:t>
            </w:r>
          </w:p>
        </w:tc>
      </w:tr>
    </w:tbl>
    <w:p w:rsidR="00DD5B1A" w:rsidRDefault="00DD5B1A">
      <w:pPr>
        <w:divId w:val="1531064940"/>
        <w:rPr>
          <w:color w:val="555555"/>
        </w:rPr>
      </w:pPr>
      <w:r>
        <w:rPr>
          <w:color w:val="555555"/>
        </w:rPr>
        <w:br/>
      </w:r>
      <w:r>
        <w:rPr>
          <w:rFonts w:ascii="Verdana" w:hAnsi="Verdana"/>
          <w:color w:val="555555"/>
          <w:sz w:val="17"/>
          <w:szCs w:val="17"/>
        </w:rPr>
        <w:t>Note: Cells shaded in black do not require data.</w:t>
      </w:r>
    </w:p>
    <w:p w:rsidR="00DD5B1A" w:rsidRDefault="00DD5B1A">
      <w:pPr>
        <w:pStyle w:val="Heading2"/>
        <w:divId w:val="1531064940"/>
      </w:pPr>
      <w:r>
        <w:rPr>
          <w:color w:val="000000"/>
          <w:sz w:val="32"/>
          <w:szCs w:val="32"/>
        </w:rPr>
        <w:t>XI. School Completion and Postsecondary Preparation</w:t>
      </w:r>
    </w:p>
    <w:p w:rsidR="00DD5B1A" w:rsidRDefault="00DD5B1A">
      <w:pPr>
        <w:pStyle w:val="Heading4"/>
        <w:divId w:val="1531064940"/>
      </w:pPr>
      <w:r>
        <w:rPr>
          <w:color w:val="000000"/>
          <w:sz w:val="23"/>
          <w:szCs w:val="23"/>
        </w:rPr>
        <w:t>Admission Requirements for California’s Public Universities</w:t>
      </w:r>
    </w:p>
    <w:p w:rsidR="00DD5B1A" w:rsidRDefault="00DD5B1A">
      <w:pPr>
        <w:pStyle w:val="Heading4"/>
        <w:divId w:val="1531064940"/>
      </w:pPr>
      <w:r>
        <w:rPr>
          <w:color w:val="000000"/>
          <w:sz w:val="23"/>
          <w:szCs w:val="23"/>
        </w:rPr>
        <w:t>University of California</w:t>
      </w:r>
    </w:p>
    <w:p w:rsidR="00DD5B1A" w:rsidRDefault="00DD5B1A">
      <w:pPr>
        <w:divId w:val="1531064940"/>
        <w:rPr>
          <w:color w:val="555555"/>
        </w:rPr>
      </w:pPr>
      <w:r>
        <w:rPr>
          <w:rFonts w:ascii="Verdana" w:hAnsi="Verdana"/>
          <w:color w:val="555555"/>
          <w:sz w:val="17"/>
          <w:szCs w:val="17"/>
        </w:rPr>
        <w:t xml:space="preserve">Admission requirements for the University </w:t>
      </w:r>
      <w:proofErr w:type="gramStart"/>
      <w:r>
        <w:rPr>
          <w:rFonts w:ascii="Verdana" w:hAnsi="Verdana"/>
          <w:color w:val="555555"/>
          <w:sz w:val="17"/>
          <w:szCs w:val="17"/>
        </w:rPr>
        <w:t>of</w:t>
      </w:r>
      <w:proofErr w:type="gramEnd"/>
      <w:r>
        <w:rPr>
          <w:rFonts w:ascii="Verdana" w:hAnsi="Verdana"/>
          <w:color w:val="555555"/>
          <w:sz w:val="17"/>
          <w:szCs w:val="17"/>
        </w:rPr>
        <w:t xml:space="preserve">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students are adequately prepared for University-level work.</w:t>
      </w:r>
      <w:r>
        <w:rPr>
          <w:color w:val="555555"/>
        </w:rPr>
        <w:br/>
      </w:r>
      <w:r>
        <w:rPr>
          <w:rFonts w:ascii="Verdana" w:hAnsi="Verdana"/>
          <w:color w:val="555555"/>
          <w:sz w:val="17"/>
          <w:szCs w:val="17"/>
        </w:rPr>
        <w:t xml:space="preserve">For general admissions requirements, please visit the </w:t>
      </w:r>
      <w:r>
        <w:rPr>
          <w:rFonts w:ascii="Verdana" w:hAnsi="Verdana"/>
          <w:i/>
          <w:iCs/>
          <w:color w:val="555555"/>
          <w:sz w:val="17"/>
          <w:szCs w:val="17"/>
        </w:rPr>
        <w:t xml:space="preserve">UC Admissions Information </w:t>
      </w:r>
      <w:r>
        <w:rPr>
          <w:rFonts w:ascii="Verdana" w:hAnsi="Verdana"/>
          <w:color w:val="555555"/>
          <w:sz w:val="17"/>
          <w:szCs w:val="17"/>
        </w:rPr>
        <w:t>Web page at</w:t>
      </w:r>
      <w:hyperlink r:id="rId17" w:history="1">
        <w:r>
          <w:rPr>
            <w:rStyle w:val="Hyperlink"/>
            <w:rFonts w:ascii="Verdana" w:hAnsi="Verdana"/>
            <w:color w:val="555555"/>
            <w:sz w:val="17"/>
            <w:szCs w:val="17"/>
          </w:rPr>
          <w:t xml:space="preserve"> http://www.universityofcalifornia.edu/admissions/</w:t>
        </w:r>
      </w:hyperlink>
      <w:r>
        <w:rPr>
          <w:rFonts w:ascii="Verdana" w:hAnsi="Verdana"/>
          <w:color w:val="555555"/>
          <w:sz w:val="17"/>
          <w:szCs w:val="17"/>
        </w:rPr>
        <w:t>. (Outside source)</w:t>
      </w:r>
    </w:p>
    <w:p w:rsidR="00DD5B1A" w:rsidRDefault="00DD5B1A">
      <w:pPr>
        <w:pStyle w:val="Heading4"/>
        <w:divId w:val="1531064940"/>
      </w:pPr>
      <w:r>
        <w:rPr>
          <w:color w:val="000000"/>
          <w:sz w:val="23"/>
          <w:szCs w:val="23"/>
        </w:rPr>
        <w:lastRenderedPageBreak/>
        <w:t>California State University</w:t>
      </w:r>
    </w:p>
    <w:p w:rsidR="00DD5B1A" w:rsidRDefault="00DD5B1A">
      <w:pPr>
        <w:divId w:val="1531064940"/>
        <w:rPr>
          <w:color w:val="555555"/>
        </w:rPr>
      </w:pPr>
      <w:r>
        <w:rPr>
          <w:rFonts w:ascii="Verdana" w:hAnsi="Verdana"/>
          <w:color w:val="555555"/>
          <w:sz w:val="17"/>
          <w:szCs w:val="17"/>
        </w:rPr>
        <w:t>Eligibility for admission to the California State University (CSU) is determined by three factors:</w:t>
      </w:r>
    </w:p>
    <w:p w:rsidR="00DD5B1A" w:rsidRDefault="00DD5B1A">
      <w:pPr>
        <w:numPr>
          <w:ilvl w:val="0"/>
          <w:numId w:val="5"/>
        </w:numPr>
        <w:spacing w:before="100" w:beforeAutospacing="1" w:after="100" w:afterAutospacing="1"/>
        <w:textAlignment w:val="baseline"/>
        <w:divId w:val="1531064940"/>
        <w:rPr>
          <w:rFonts w:ascii="Arial" w:hAnsi="Arial" w:cs="Arial"/>
          <w:color w:val="000000"/>
          <w:sz w:val="23"/>
          <w:szCs w:val="23"/>
        </w:rPr>
      </w:pPr>
      <w:r>
        <w:rPr>
          <w:rFonts w:ascii="Verdana" w:hAnsi="Verdana" w:cs="Arial"/>
          <w:color w:val="555555"/>
          <w:sz w:val="17"/>
          <w:szCs w:val="17"/>
        </w:rPr>
        <w:t>Specific high school courses</w:t>
      </w:r>
    </w:p>
    <w:p w:rsidR="00DD5B1A" w:rsidRDefault="00DD5B1A">
      <w:pPr>
        <w:numPr>
          <w:ilvl w:val="0"/>
          <w:numId w:val="5"/>
        </w:numPr>
        <w:spacing w:before="100" w:beforeAutospacing="1" w:after="100" w:afterAutospacing="1"/>
        <w:textAlignment w:val="baseline"/>
        <w:divId w:val="1531064940"/>
        <w:rPr>
          <w:rFonts w:ascii="Arial" w:hAnsi="Arial" w:cs="Arial"/>
          <w:color w:val="000000"/>
          <w:sz w:val="23"/>
          <w:szCs w:val="23"/>
        </w:rPr>
      </w:pPr>
      <w:r>
        <w:rPr>
          <w:rFonts w:ascii="Verdana" w:hAnsi="Verdana" w:cs="Arial"/>
          <w:color w:val="555555"/>
          <w:sz w:val="17"/>
          <w:szCs w:val="17"/>
        </w:rPr>
        <w:t>Grades in specified courses and test scores</w:t>
      </w:r>
    </w:p>
    <w:p w:rsidR="00DD5B1A" w:rsidRDefault="00DD5B1A">
      <w:pPr>
        <w:numPr>
          <w:ilvl w:val="0"/>
          <w:numId w:val="5"/>
        </w:numPr>
        <w:spacing w:before="100" w:beforeAutospacing="1" w:after="100" w:afterAutospacing="1"/>
        <w:textAlignment w:val="baseline"/>
        <w:divId w:val="1531064940"/>
        <w:rPr>
          <w:rFonts w:ascii="Arial" w:hAnsi="Arial" w:cs="Arial"/>
          <w:color w:val="000000"/>
          <w:sz w:val="23"/>
          <w:szCs w:val="23"/>
        </w:rPr>
      </w:pPr>
      <w:r>
        <w:rPr>
          <w:rFonts w:ascii="Verdana" w:hAnsi="Verdana" w:cs="Arial"/>
          <w:color w:val="555555"/>
          <w:sz w:val="17"/>
          <w:szCs w:val="17"/>
        </w:rPr>
        <w:t>Graduation from high school</w:t>
      </w:r>
    </w:p>
    <w:p w:rsidR="00DD5B1A" w:rsidRDefault="00DD5B1A">
      <w:pPr>
        <w:divId w:val="1531064940"/>
        <w:rPr>
          <w:color w:val="555555"/>
        </w:rPr>
      </w:pPr>
      <w:r>
        <w:rPr>
          <w:color w:val="555555"/>
        </w:rPr>
        <w:br/>
      </w:r>
      <w:r>
        <w:rPr>
          <w:rFonts w:ascii="Verdana" w:hAnsi="Verdana"/>
          <w:color w:val="555555"/>
          <w:sz w:val="17"/>
          <w:szCs w:val="17"/>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7"/>
          <w:szCs w:val="17"/>
        </w:rPr>
        <w:t>CSU</w:t>
      </w:r>
      <w:r>
        <w:rPr>
          <w:rFonts w:ascii="Verdana" w:hAnsi="Verdana"/>
          <w:color w:val="555555"/>
          <w:sz w:val="17"/>
          <w:szCs w:val="17"/>
        </w:rPr>
        <w:t xml:space="preserve"> </w:t>
      </w:r>
      <w:r>
        <w:rPr>
          <w:rFonts w:ascii="Verdana" w:hAnsi="Verdana"/>
          <w:i/>
          <w:iCs/>
          <w:color w:val="555555"/>
          <w:sz w:val="17"/>
          <w:szCs w:val="17"/>
        </w:rPr>
        <w:t>Web page at</w:t>
      </w:r>
      <w:hyperlink r:id="rId18"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http://www.calstate.edu/admission/admission.shtml</w:t>
        </w:r>
      </w:hyperlink>
      <w:r>
        <w:rPr>
          <w:rFonts w:ascii="Verdana" w:hAnsi="Verdana"/>
          <w:color w:val="555555"/>
          <w:sz w:val="17"/>
          <w:szCs w:val="17"/>
        </w:rPr>
        <w:t>. (Outside source)</w:t>
      </w:r>
    </w:p>
    <w:p w:rsidR="00DD5B1A" w:rsidRDefault="00DD5B1A">
      <w:pPr>
        <w:pStyle w:val="Heading4"/>
        <w:divId w:val="1531064940"/>
      </w:pPr>
      <w:r>
        <w:rPr>
          <w:color w:val="000000"/>
          <w:sz w:val="23"/>
          <w:szCs w:val="23"/>
        </w:rPr>
        <w:t>Dropout Rate and Graduation Rate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37"/>
        <w:gridCol w:w="980"/>
        <w:gridCol w:w="981"/>
        <w:gridCol w:w="981"/>
        <w:gridCol w:w="981"/>
        <w:gridCol w:w="981"/>
        <w:gridCol w:w="981"/>
        <w:gridCol w:w="981"/>
        <w:gridCol w:w="981"/>
        <w:gridCol w:w="981"/>
      </w:tblGrid>
      <w:tr w:rsidR="00DD5B1A">
        <w:trPr>
          <w:divId w:val="153106494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rPr>
                <w:sz w:val="2"/>
              </w:rPr>
            </w:pPr>
            <w:r w:rsidRPr="003626FA">
              <w:rPr>
                <w:rFonts w:ascii="Verdana" w:hAnsi="Verdana"/>
                <w:b/>
                <w:bCs/>
                <w:color w:val="FFFFFF"/>
                <w:sz w:val="18"/>
                <w:szCs w:val="18"/>
                <w:shd w:val="clear" w:color="auto" w:fill="1A4678"/>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rPr>
                <w:sz w:val="2"/>
              </w:rPr>
            </w:pPr>
            <w:r w:rsidRPr="003626FA">
              <w:rPr>
                <w:rFonts w:ascii="Verdana" w:hAnsi="Verdana"/>
                <w:b/>
                <w:bCs/>
                <w:color w:val="FFFFFF"/>
                <w:sz w:val="18"/>
                <w:szCs w:val="18"/>
                <w:shd w:val="clear" w:color="auto" w:fill="1A4678"/>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rPr>
                <w:sz w:val="2"/>
              </w:rPr>
            </w:pPr>
            <w:r w:rsidRPr="003626FA">
              <w:rPr>
                <w:rFonts w:ascii="Verdana" w:hAnsi="Verdana"/>
                <w:b/>
                <w:bCs/>
                <w:color w:val="FFFFFF"/>
                <w:sz w:val="18"/>
                <w:szCs w:val="18"/>
                <w:shd w:val="clear" w:color="auto" w:fill="1A4678"/>
              </w:rPr>
              <w:t>State</w:t>
            </w:r>
          </w:p>
        </w:tc>
      </w:tr>
      <w:tr w:rsidR="00DD5B1A">
        <w:trPr>
          <w:divId w:val="15310649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5B1A" w:rsidRDefault="00DD5B1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Dropout Rate (1-year)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95.76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86.41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98.05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80.44</w:t>
            </w:r>
          </w:p>
        </w:tc>
      </w:tr>
    </w:tbl>
    <w:p w:rsidR="00DD5B1A" w:rsidRDefault="00DD5B1A">
      <w:pPr>
        <w:divId w:val="1531064940"/>
        <w:rPr>
          <w:color w:val="555555"/>
        </w:rPr>
      </w:pPr>
      <w:r>
        <w:rPr>
          <w:color w:val="555555"/>
        </w:rPr>
        <w:br/>
      </w:r>
      <w:r>
        <w:rPr>
          <w:rFonts w:ascii="Verdana" w:hAnsi="Verdana"/>
          <w:color w:val="555555"/>
          <w:sz w:val="17"/>
          <w:szCs w:val="17"/>
        </w:rPr>
        <w:t>Note: The National Center for Education Statistics graduation rate as reported in AYP is provided in this table.</w:t>
      </w:r>
    </w:p>
    <w:p w:rsidR="00DD5B1A" w:rsidRDefault="00DD5B1A">
      <w:pPr>
        <w:pStyle w:val="Heading4"/>
        <w:divId w:val="1531064940"/>
      </w:pPr>
      <w:r>
        <w:rPr>
          <w:color w:val="000000"/>
          <w:sz w:val="23"/>
          <w:szCs w:val="23"/>
        </w:rPr>
        <w:t>Completion of High School Graduation Requirements</w:t>
      </w:r>
    </w:p>
    <w:p w:rsidR="00DD5B1A" w:rsidRDefault="00DD5B1A">
      <w:pPr>
        <w:divId w:val="1531064940"/>
        <w:rPr>
          <w:color w:val="555555"/>
        </w:rPr>
      </w:pPr>
      <w:r>
        <w:rPr>
          <w:rFonts w:ascii="Verdana" w:hAnsi="Verdana"/>
          <w:color w:val="555555"/>
          <w:sz w:val="17"/>
          <w:szCs w:val="17"/>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985"/>
        <w:gridCol w:w="985"/>
        <w:gridCol w:w="701"/>
      </w:tblGrid>
      <w:tr w:rsidR="00DD5B1A">
        <w:trPr>
          <w:divId w:val="153106494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rPr>
                <w:sz w:val="2"/>
              </w:rPr>
            </w:pPr>
            <w:r w:rsidRPr="003626FA">
              <w:rPr>
                <w:rFonts w:ascii="Verdana" w:hAnsi="Verdana"/>
                <w:b/>
                <w:bCs/>
                <w:color w:val="FFFFFF"/>
                <w:sz w:val="18"/>
                <w:szCs w:val="18"/>
                <w:shd w:val="clear" w:color="auto" w:fill="1A4678"/>
              </w:rPr>
              <w:t>Graduating Class of 2011</w:t>
            </w:r>
          </w:p>
        </w:tc>
      </w:tr>
      <w:tr w:rsidR="00DD5B1A">
        <w:trPr>
          <w:divId w:val="15310649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5B1A" w:rsidRDefault="00DD5B1A"/>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District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99.82%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96.10%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99.76%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97.16%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94.02%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97.56%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96.00%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99.42%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91.73%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92.71%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bl>
    <w:p w:rsidR="00DD5B1A" w:rsidRDefault="00DD5B1A">
      <w:pPr>
        <w:divId w:val="1531064940"/>
        <w:rPr>
          <w:color w:val="555555"/>
        </w:rPr>
      </w:pPr>
      <w:r>
        <w:rPr>
          <w:rFonts w:ascii="Verdana" w:hAnsi="Verdana"/>
          <w:color w:val="555555"/>
          <w:sz w:val="17"/>
          <w:szCs w:val="17"/>
        </w:rPr>
        <w:t>Note: “N/D” means that no data were available to the CDE or LEA to report.</w:t>
      </w:r>
    </w:p>
    <w:p w:rsidR="00DD5B1A" w:rsidRDefault="00DD5B1A">
      <w:pPr>
        <w:pStyle w:val="Heading4"/>
        <w:divId w:val="1531064940"/>
      </w:pPr>
      <w:r>
        <w:rPr>
          <w:color w:val="000000"/>
          <w:sz w:val="23"/>
          <w:szCs w:val="23"/>
        </w:rPr>
        <w:t>Career Technical Education Programs (School Year 2010–11)</w:t>
      </w:r>
    </w:p>
    <w:tbl>
      <w:tblPr>
        <w:tblW w:w="0" w:type="auto"/>
        <w:tblLook w:val="04A0"/>
      </w:tblPr>
      <w:tblGrid>
        <w:gridCol w:w="10920"/>
      </w:tblGrid>
      <w:tr w:rsidR="00DD5B1A">
        <w:trPr>
          <w:divId w:val="153106494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DD5B1A" w:rsidRDefault="00DD5B1A">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degree to which pupils are prepared to enter the workforce, including a list of career technical education (CTE) programs offered at the school. </w:t>
            </w:r>
          </w:p>
          <w:p w:rsidR="00DD5B1A" w:rsidRDefault="00DD5B1A">
            <w:pPr>
              <w:rPr>
                <w:rFonts w:ascii="Arial" w:hAnsi="Arial" w:cs="Arial"/>
                <w:bCs/>
                <w:color w:val="000000"/>
                <w:sz w:val="18"/>
              </w:rPr>
            </w:pPr>
            <w:r>
              <w:rPr>
                <w:rFonts w:ascii="Arial" w:hAnsi="Arial" w:cs="Arial"/>
                <w:bCs/>
                <w:color w:val="000000"/>
                <w:sz w:val="18"/>
              </w:rPr>
              <w:lastRenderedPageBreak/>
              <w:t>The Career and Technical Education (CTE) program at Mark Keppel High School, in conjunction with Alhambra Unified School District and the community, offers students a range of options for their future.  The CTE program ensures that students acquire the skills necessary to be successful in school and helps them in the transition from high school to post-secondary education and employment.</w:t>
            </w:r>
          </w:p>
          <w:p w:rsidR="00DD5B1A" w:rsidRDefault="00DD5B1A">
            <w:pPr>
              <w:rPr>
                <w:rFonts w:ascii="Arial" w:hAnsi="Arial" w:cs="Arial"/>
                <w:bCs/>
                <w:color w:val="000000"/>
                <w:sz w:val="18"/>
              </w:rPr>
            </w:pPr>
          </w:p>
          <w:p w:rsidR="00DD5B1A" w:rsidRDefault="00DD5B1A">
            <w:pPr>
              <w:rPr>
                <w:rFonts w:ascii="Arial" w:hAnsi="Arial" w:cs="Arial"/>
                <w:bCs/>
                <w:color w:val="000000"/>
                <w:sz w:val="18"/>
              </w:rPr>
            </w:pPr>
            <w:r>
              <w:rPr>
                <w:rFonts w:ascii="Arial" w:hAnsi="Arial" w:cs="Arial"/>
                <w:bCs/>
                <w:color w:val="000000"/>
                <w:sz w:val="18"/>
              </w:rPr>
              <w:t>Students in grades nine through twelve receive counseling from school personnel regarding progression through their selected career pathways and courses of study.  The school district’s Career Preparation Department and Mark Keppel High School’s Career Center provide a variety of services, programs, and classes to assist students.  The Career Center facilitates the process of students going on career-related field trips and sponsors speakers from local businesses, the community, community colleges and universities so that students are exposed to a wide variety of post-secondary options.  Students may continue to research careers and colleges of interest to them using specialized computer programs and the Internet.</w:t>
            </w:r>
          </w:p>
          <w:p w:rsidR="00DD5B1A" w:rsidRDefault="00DD5B1A">
            <w:pPr>
              <w:rPr>
                <w:rFonts w:ascii="Arial" w:hAnsi="Arial" w:cs="Arial"/>
                <w:bCs/>
                <w:color w:val="000000"/>
                <w:sz w:val="18"/>
              </w:rPr>
            </w:pPr>
          </w:p>
          <w:p w:rsidR="00DD5B1A" w:rsidRDefault="00DD5B1A">
            <w:pPr>
              <w:rPr>
                <w:rFonts w:ascii="Arial" w:hAnsi="Arial" w:cs="Arial"/>
                <w:bCs/>
                <w:color w:val="000000"/>
                <w:sz w:val="18"/>
              </w:rPr>
            </w:pPr>
            <w:r>
              <w:rPr>
                <w:rFonts w:ascii="Arial" w:hAnsi="Arial" w:cs="Arial"/>
                <w:bCs/>
                <w:color w:val="000000"/>
                <w:sz w:val="18"/>
              </w:rPr>
              <w:t>The Regional Occupational Program (ROP) provides a significant number of CTE course offerings for the district.  The ROP program is available to students 16 years or older at any school site.  Through these classes students are able to earn credit for paid and unpaid work experience, explore career opportunities and learn employability skills.  Local businesses frequently recruit students directly from ROP community classrooms for employment especially during the holiday season.</w:t>
            </w:r>
          </w:p>
          <w:p w:rsidR="00DD5B1A" w:rsidRDefault="00DD5B1A">
            <w:pPr>
              <w:rPr>
                <w:rFonts w:ascii="Arial" w:hAnsi="Arial" w:cs="Arial"/>
                <w:bCs/>
                <w:color w:val="000000"/>
                <w:sz w:val="18"/>
              </w:rPr>
            </w:pPr>
          </w:p>
          <w:p w:rsidR="00DD5B1A" w:rsidRDefault="00DD5B1A">
            <w:pPr>
              <w:rPr>
                <w:rFonts w:ascii="Arial" w:hAnsi="Arial" w:cs="Arial"/>
                <w:bCs/>
                <w:color w:val="000000"/>
                <w:sz w:val="18"/>
              </w:rPr>
            </w:pPr>
            <w:r>
              <w:rPr>
                <w:rFonts w:ascii="Arial" w:hAnsi="Arial" w:cs="Arial"/>
                <w:bCs/>
                <w:color w:val="000000"/>
                <w:sz w:val="18"/>
              </w:rPr>
              <w:t>Mark Keppel High School has two California Partnership Academies:  The International Business Academy and The Architecture Academy.  The academies feature an ROP class as the required CTE component.  The goal is to provide at-risk students an opportunity to work in small learning communities.</w:t>
            </w:r>
          </w:p>
          <w:p w:rsidR="00DD5B1A" w:rsidRDefault="00DD5B1A">
            <w:pPr>
              <w:rPr>
                <w:rFonts w:ascii="Arial" w:hAnsi="Arial" w:cs="Arial"/>
                <w:bCs/>
                <w:color w:val="000000"/>
                <w:sz w:val="18"/>
              </w:rPr>
            </w:pPr>
          </w:p>
          <w:p w:rsidR="00DD5B1A" w:rsidRDefault="00DD5B1A">
            <w:pPr>
              <w:rPr>
                <w:rFonts w:ascii="Arial" w:hAnsi="Arial" w:cs="Arial"/>
                <w:bCs/>
                <w:color w:val="000000"/>
                <w:sz w:val="18"/>
              </w:rPr>
            </w:pPr>
            <w:r>
              <w:rPr>
                <w:rFonts w:ascii="Arial" w:hAnsi="Arial" w:cs="Arial"/>
                <w:bCs/>
                <w:color w:val="000000"/>
                <w:sz w:val="18"/>
              </w:rPr>
              <w:t>The school measures success of its efforts to prepare students for the work force based on student demonstrations and completion of projects.  Certificates are awarded to students who successfully complete pathway programs and ROP classes.  Mark Keppel High School has 21 articulation agreements with nearby community colleges.  These articulation agreements support the students’ seamless transition from high school to college.</w:t>
            </w:r>
          </w:p>
          <w:p w:rsidR="00DD5B1A" w:rsidRDefault="00DD5B1A">
            <w:pPr>
              <w:rPr>
                <w:rFonts w:ascii="Arial" w:hAnsi="Arial" w:cs="Arial"/>
                <w:bCs/>
                <w:color w:val="000000"/>
                <w:sz w:val="18"/>
              </w:rPr>
            </w:pPr>
          </w:p>
          <w:p w:rsidR="00DD5B1A" w:rsidRDefault="00DD5B1A">
            <w:pPr>
              <w:rPr>
                <w:rFonts w:ascii="Arial" w:hAnsi="Arial" w:cs="Arial"/>
                <w:bCs/>
                <w:color w:val="000000"/>
                <w:sz w:val="18"/>
              </w:rPr>
            </w:pPr>
            <w:r>
              <w:rPr>
                <w:rFonts w:ascii="Arial" w:hAnsi="Arial" w:cs="Arial"/>
                <w:bCs/>
                <w:color w:val="000000"/>
                <w:sz w:val="18"/>
              </w:rPr>
              <w:t>In their four-year plan, all students are encouraged to explore career interest and select courses that relate to their future career goals.  CTE courses offered at Mark Keppel High School are included in the following industry sectors:</w:t>
            </w:r>
          </w:p>
          <w:p w:rsidR="00DD5B1A" w:rsidRDefault="00DD5B1A">
            <w:pPr>
              <w:rPr>
                <w:rFonts w:ascii="Arial" w:hAnsi="Arial" w:cs="Arial"/>
                <w:bCs/>
                <w:color w:val="000000"/>
                <w:sz w:val="18"/>
              </w:rPr>
            </w:pPr>
          </w:p>
          <w:p w:rsidR="00DD5B1A" w:rsidRDefault="00DD5B1A">
            <w:pPr>
              <w:rPr>
                <w:rFonts w:ascii="Arial" w:hAnsi="Arial" w:cs="Arial"/>
                <w:bCs/>
                <w:color w:val="000000"/>
                <w:sz w:val="18"/>
              </w:rPr>
            </w:pPr>
            <w:r>
              <w:rPr>
                <w:rFonts w:ascii="Arial" w:hAnsi="Arial" w:cs="Arial"/>
                <w:bCs/>
                <w:color w:val="000000"/>
                <w:sz w:val="18"/>
              </w:rPr>
              <w:t>*Arts, Media, and Entertainment</w:t>
            </w:r>
          </w:p>
          <w:p w:rsidR="00DD5B1A" w:rsidRDefault="00DD5B1A">
            <w:pPr>
              <w:rPr>
                <w:rFonts w:ascii="Arial" w:hAnsi="Arial" w:cs="Arial"/>
                <w:bCs/>
                <w:color w:val="000000"/>
                <w:sz w:val="18"/>
              </w:rPr>
            </w:pPr>
            <w:r>
              <w:rPr>
                <w:rFonts w:ascii="Arial" w:hAnsi="Arial" w:cs="Arial"/>
                <w:bCs/>
                <w:color w:val="000000"/>
                <w:sz w:val="18"/>
              </w:rPr>
              <w:t>*Building Trades and Construction</w:t>
            </w:r>
          </w:p>
          <w:p w:rsidR="00DD5B1A" w:rsidRDefault="00DD5B1A">
            <w:pPr>
              <w:rPr>
                <w:rFonts w:ascii="Arial" w:hAnsi="Arial" w:cs="Arial"/>
                <w:bCs/>
                <w:color w:val="000000"/>
                <w:sz w:val="18"/>
              </w:rPr>
            </w:pPr>
            <w:r>
              <w:rPr>
                <w:rFonts w:ascii="Arial" w:hAnsi="Arial" w:cs="Arial"/>
                <w:bCs/>
                <w:color w:val="000000"/>
                <w:sz w:val="18"/>
              </w:rPr>
              <w:t>*Finance &amp; Business</w:t>
            </w:r>
          </w:p>
          <w:p w:rsidR="00DD5B1A" w:rsidRDefault="00DD5B1A">
            <w:pPr>
              <w:rPr>
                <w:rFonts w:ascii="Arial" w:hAnsi="Arial" w:cs="Arial"/>
                <w:bCs/>
                <w:color w:val="000000"/>
                <w:sz w:val="18"/>
              </w:rPr>
            </w:pPr>
            <w:r>
              <w:rPr>
                <w:rFonts w:ascii="Arial" w:hAnsi="Arial" w:cs="Arial"/>
                <w:bCs/>
                <w:color w:val="000000"/>
                <w:sz w:val="18"/>
              </w:rPr>
              <w:t>*Health Science and Medical Technology</w:t>
            </w:r>
          </w:p>
          <w:p w:rsidR="00DD5B1A" w:rsidRDefault="00DD5B1A">
            <w:pPr>
              <w:rPr>
                <w:rFonts w:ascii="Arial" w:hAnsi="Arial" w:cs="Arial"/>
                <w:bCs/>
                <w:color w:val="000000"/>
                <w:sz w:val="18"/>
              </w:rPr>
            </w:pPr>
            <w:r>
              <w:rPr>
                <w:rFonts w:ascii="Arial" w:hAnsi="Arial" w:cs="Arial"/>
                <w:bCs/>
                <w:color w:val="000000"/>
                <w:sz w:val="18"/>
              </w:rPr>
              <w:t>*Hospitality, Tourism, and Recreation</w:t>
            </w:r>
          </w:p>
          <w:p w:rsidR="00DD5B1A" w:rsidRDefault="00DD5B1A">
            <w:pPr>
              <w:rPr>
                <w:rFonts w:ascii="Arial" w:hAnsi="Arial" w:cs="Arial"/>
                <w:bCs/>
                <w:color w:val="000000"/>
                <w:sz w:val="18"/>
              </w:rPr>
            </w:pPr>
            <w:r>
              <w:rPr>
                <w:rFonts w:ascii="Arial" w:hAnsi="Arial" w:cs="Arial"/>
                <w:bCs/>
                <w:color w:val="000000"/>
                <w:sz w:val="18"/>
              </w:rPr>
              <w:t>*Marketing, Sales, and Service</w:t>
            </w:r>
          </w:p>
          <w:p w:rsidR="00DD5B1A" w:rsidRDefault="00DD5B1A">
            <w:pPr>
              <w:rPr>
                <w:rFonts w:ascii="Arial" w:hAnsi="Arial" w:cs="Arial"/>
                <w:bCs/>
                <w:color w:val="000000"/>
                <w:sz w:val="18"/>
              </w:rPr>
            </w:pPr>
            <w:r>
              <w:rPr>
                <w:rFonts w:ascii="Arial" w:hAnsi="Arial" w:cs="Arial"/>
                <w:bCs/>
                <w:color w:val="000000"/>
                <w:sz w:val="18"/>
              </w:rPr>
              <w:t>*Public Services</w:t>
            </w:r>
          </w:p>
          <w:p w:rsidR="00DD5B1A" w:rsidRDefault="00DD5B1A">
            <w:pPr>
              <w:rPr>
                <w:rFonts w:ascii="Arial" w:hAnsi="Arial" w:cs="Arial"/>
                <w:bCs/>
                <w:color w:val="000000"/>
                <w:sz w:val="18"/>
              </w:rPr>
            </w:pPr>
            <w:r>
              <w:rPr>
                <w:rFonts w:ascii="Arial" w:hAnsi="Arial" w:cs="Arial"/>
                <w:bCs/>
                <w:color w:val="000000"/>
                <w:sz w:val="18"/>
              </w:rPr>
              <w:t>*Transportation</w:t>
            </w:r>
          </w:p>
          <w:p w:rsidR="00DD5B1A" w:rsidRDefault="00DD5B1A">
            <w:pPr>
              <w:rPr>
                <w:rFonts w:ascii="Arial" w:hAnsi="Arial" w:cs="Arial"/>
                <w:bCs/>
                <w:color w:val="000000"/>
                <w:sz w:val="18"/>
              </w:rPr>
            </w:pPr>
          </w:p>
          <w:p w:rsidR="00DD5B1A" w:rsidRDefault="00DD5B1A">
            <w:pPr>
              <w:rPr>
                <w:rFonts w:ascii="Arial" w:hAnsi="Arial" w:cs="Arial"/>
                <w:bCs/>
                <w:color w:val="000000"/>
                <w:sz w:val="18"/>
              </w:rPr>
            </w:pPr>
            <w:r>
              <w:rPr>
                <w:rFonts w:ascii="Arial" w:hAnsi="Arial" w:cs="Arial"/>
                <w:bCs/>
                <w:color w:val="000000"/>
                <w:sz w:val="18"/>
              </w:rPr>
              <w:t>The following is a list of CTE and ROP courses offered at Mark Keppel High School and District-wide:</w:t>
            </w:r>
          </w:p>
          <w:p w:rsidR="00DD5B1A" w:rsidRDefault="00DD5B1A">
            <w:pPr>
              <w:rPr>
                <w:rFonts w:ascii="Arial" w:hAnsi="Arial" w:cs="Arial"/>
                <w:bCs/>
                <w:color w:val="000000"/>
                <w:sz w:val="18"/>
              </w:rPr>
            </w:pPr>
          </w:p>
          <w:tbl>
            <w:tblPr>
              <w:tblW w:w="3055" w:type="dxa"/>
              <w:tblLook w:val="04A0"/>
            </w:tblPr>
            <w:tblGrid>
              <w:gridCol w:w="3055"/>
            </w:tblGrid>
            <w:tr w:rsidR="00DD5B1A">
              <w:trPr>
                <w:trHeight w:val="300"/>
              </w:trPr>
              <w:tc>
                <w:tcPr>
                  <w:tcW w:w="3055" w:type="dxa"/>
                  <w:tcBorders>
                    <w:top w:val="single" w:sz="4" w:space="0" w:color="auto"/>
                    <w:left w:val="single" w:sz="4" w:space="0" w:color="auto"/>
                    <w:bottom w:val="single" w:sz="4" w:space="0" w:color="auto"/>
                    <w:right w:val="single" w:sz="4" w:space="0" w:color="auto"/>
                  </w:tcBorders>
                  <w:noWrap/>
                  <w:vAlign w:val="bottom"/>
                  <w:hideMark/>
                </w:tcPr>
                <w:p w:rsidR="00DD5B1A" w:rsidRDefault="00DD5B1A">
                  <w:pPr>
                    <w:rPr>
                      <w:rFonts w:ascii="Calibri" w:hAnsi="Calibri"/>
                      <w:color w:val="000000"/>
                      <w:sz w:val="22"/>
                      <w:szCs w:val="22"/>
                    </w:rPr>
                  </w:pPr>
                  <w:r>
                    <w:rPr>
                      <w:rFonts w:ascii="Calibri" w:hAnsi="Calibri"/>
                      <w:color w:val="000000"/>
                      <w:sz w:val="22"/>
                      <w:szCs w:val="22"/>
                    </w:rPr>
                    <w:t>Accounting</w:t>
                  </w:r>
                </w:p>
              </w:tc>
            </w:tr>
            <w:tr w:rsidR="00DD5B1A">
              <w:trPr>
                <w:trHeight w:val="300"/>
              </w:trPr>
              <w:tc>
                <w:tcPr>
                  <w:tcW w:w="3055" w:type="dxa"/>
                  <w:tcBorders>
                    <w:top w:val="nil"/>
                    <w:left w:val="single" w:sz="4" w:space="0" w:color="auto"/>
                    <w:bottom w:val="single" w:sz="4" w:space="0" w:color="auto"/>
                    <w:right w:val="single" w:sz="4" w:space="0" w:color="auto"/>
                  </w:tcBorders>
                  <w:noWrap/>
                  <w:vAlign w:val="bottom"/>
                  <w:hideMark/>
                </w:tcPr>
                <w:p w:rsidR="00DD5B1A" w:rsidRDefault="00DD5B1A">
                  <w:pPr>
                    <w:rPr>
                      <w:rFonts w:ascii="Calibri" w:hAnsi="Calibri"/>
                      <w:color w:val="000000"/>
                      <w:sz w:val="22"/>
                      <w:szCs w:val="22"/>
                    </w:rPr>
                  </w:pPr>
                  <w:r>
                    <w:rPr>
                      <w:rFonts w:ascii="Calibri" w:hAnsi="Calibri"/>
                      <w:color w:val="000000"/>
                      <w:sz w:val="22"/>
                      <w:szCs w:val="22"/>
                    </w:rPr>
                    <w:t>Explorer Tech</w:t>
                  </w:r>
                </w:p>
              </w:tc>
            </w:tr>
            <w:tr w:rsidR="00DD5B1A">
              <w:trPr>
                <w:trHeight w:val="300"/>
              </w:trPr>
              <w:tc>
                <w:tcPr>
                  <w:tcW w:w="3055" w:type="dxa"/>
                  <w:tcBorders>
                    <w:top w:val="nil"/>
                    <w:left w:val="single" w:sz="4" w:space="0" w:color="auto"/>
                    <w:bottom w:val="single" w:sz="4" w:space="0" w:color="auto"/>
                    <w:right w:val="single" w:sz="4" w:space="0" w:color="auto"/>
                  </w:tcBorders>
                  <w:noWrap/>
                  <w:vAlign w:val="bottom"/>
                  <w:hideMark/>
                </w:tcPr>
                <w:p w:rsidR="00DD5B1A" w:rsidRDefault="00DD5B1A">
                  <w:pPr>
                    <w:rPr>
                      <w:rFonts w:ascii="Calibri" w:hAnsi="Calibri"/>
                      <w:color w:val="000000"/>
                      <w:sz w:val="22"/>
                      <w:szCs w:val="22"/>
                    </w:rPr>
                  </w:pPr>
                  <w:r>
                    <w:rPr>
                      <w:rFonts w:ascii="Calibri" w:hAnsi="Calibri"/>
                      <w:color w:val="000000"/>
                      <w:sz w:val="22"/>
                      <w:szCs w:val="22"/>
                    </w:rPr>
                    <w:t>Computer Lit/ Appl.</w:t>
                  </w:r>
                </w:p>
              </w:tc>
            </w:tr>
            <w:tr w:rsidR="00DD5B1A">
              <w:trPr>
                <w:trHeight w:val="300"/>
              </w:trPr>
              <w:tc>
                <w:tcPr>
                  <w:tcW w:w="3055" w:type="dxa"/>
                  <w:tcBorders>
                    <w:top w:val="nil"/>
                    <w:left w:val="single" w:sz="4" w:space="0" w:color="auto"/>
                    <w:bottom w:val="single" w:sz="4" w:space="0" w:color="auto"/>
                    <w:right w:val="single" w:sz="4" w:space="0" w:color="auto"/>
                  </w:tcBorders>
                  <w:noWrap/>
                  <w:vAlign w:val="bottom"/>
                  <w:hideMark/>
                </w:tcPr>
                <w:p w:rsidR="00DD5B1A" w:rsidRDefault="00DD5B1A">
                  <w:pPr>
                    <w:rPr>
                      <w:rFonts w:ascii="Calibri" w:hAnsi="Calibri"/>
                      <w:color w:val="000000"/>
                      <w:sz w:val="22"/>
                      <w:szCs w:val="22"/>
                    </w:rPr>
                  </w:pPr>
                  <w:r>
                    <w:rPr>
                      <w:rFonts w:ascii="Calibri" w:hAnsi="Calibri"/>
                      <w:color w:val="000000"/>
                      <w:sz w:val="22"/>
                      <w:szCs w:val="22"/>
                    </w:rPr>
                    <w:t>International Bus.</w:t>
                  </w:r>
                </w:p>
              </w:tc>
            </w:tr>
            <w:tr w:rsidR="00DD5B1A">
              <w:trPr>
                <w:trHeight w:val="300"/>
              </w:trPr>
              <w:tc>
                <w:tcPr>
                  <w:tcW w:w="3055" w:type="dxa"/>
                  <w:tcBorders>
                    <w:top w:val="nil"/>
                    <w:left w:val="single" w:sz="4" w:space="0" w:color="auto"/>
                    <w:bottom w:val="single" w:sz="4" w:space="0" w:color="auto"/>
                    <w:right w:val="single" w:sz="4" w:space="0" w:color="auto"/>
                  </w:tcBorders>
                  <w:noWrap/>
                  <w:vAlign w:val="bottom"/>
                  <w:hideMark/>
                </w:tcPr>
                <w:p w:rsidR="00DD5B1A" w:rsidRDefault="00DD5B1A">
                  <w:pPr>
                    <w:rPr>
                      <w:rFonts w:ascii="Calibri" w:hAnsi="Calibri"/>
                      <w:color w:val="000000"/>
                      <w:sz w:val="22"/>
                      <w:szCs w:val="22"/>
                    </w:rPr>
                  </w:pPr>
                  <w:r>
                    <w:rPr>
                      <w:rFonts w:ascii="Calibri" w:hAnsi="Calibri"/>
                      <w:color w:val="000000"/>
                      <w:sz w:val="22"/>
                      <w:szCs w:val="22"/>
                    </w:rPr>
                    <w:t>Media Design</w:t>
                  </w:r>
                </w:p>
              </w:tc>
            </w:tr>
            <w:tr w:rsidR="00DD5B1A">
              <w:trPr>
                <w:trHeight w:val="300"/>
              </w:trPr>
              <w:tc>
                <w:tcPr>
                  <w:tcW w:w="3055" w:type="dxa"/>
                  <w:tcBorders>
                    <w:top w:val="nil"/>
                    <w:left w:val="single" w:sz="4" w:space="0" w:color="auto"/>
                    <w:bottom w:val="single" w:sz="4" w:space="0" w:color="auto"/>
                    <w:right w:val="single" w:sz="4" w:space="0" w:color="auto"/>
                  </w:tcBorders>
                  <w:noWrap/>
                  <w:vAlign w:val="bottom"/>
                  <w:hideMark/>
                </w:tcPr>
                <w:p w:rsidR="00DD5B1A" w:rsidRDefault="00DD5B1A">
                  <w:pPr>
                    <w:rPr>
                      <w:rFonts w:ascii="Calibri" w:hAnsi="Calibri"/>
                      <w:color w:val="000000"/>
                      <w:sz w:val="22"/>
                      <w:szCs w:val="22"/>
                    </w:rPr>
                  </w:pPr>
                  <w:r>
                    <w:rPr>
                      <w:rFonts w:ascii="Calibri" w:hAnsi="Calibri"/>
                      <w:color w:val="000000"/>
                      <w:sz w:val="22"/>
                      <w:szCs w:val="22"/>
                    </w:rPr>
                    <w:t>Business Law</w:t>
                  </w:r>
                </w:p>
              </w:tc>
            </w:tr>
            <w:tr w:rsidR="00DD5B1A">
              <w:trPr>
                <w:trHeight w:val="300"/>
              </w:trPr>
              <w:tc>
                <w:tcPr>
                  <w:tcW w:w="3055" w:type="dxa"/>
                  <w:tcBorders>
                    <w:top w:val="nil"/>
                    <w:left w:val="single" w:sz="4" w:space="0" w:color="auto"/>
                    <w:bottom w:val="single" w:sz="4" w:space="0" w:color="auto"/>
                    <w:right w:val="single" w:sz="4" w:space="0" w:color="auto"/>
                  </w:tcBorders>
                  <w:noWrap/>
                  <w:vAlign w:val="bottom"/>
                  <w:hideMark/>
                </w:tcPr>
                <w:p w:rsidR="00DD5B1A" w:rsidRDefault="00DD5B1A">
                  <w:pPr>
                    <w:rPr>
                      <w:rFonts w:ascii="Calibri" w:hAnsi="Calibri"/>
                      <w:color w:val="000000"/>
                      <w:sz w:val="22"/>
                      <w:szCs w:val="22"/>
                    </w:rPr>
                  </w:pPr>
                  <w:r>
                    <w:rPr>
                      <w:rFonts w:ascii="Calibri" w:hAnsi="Calibri"/>
                      <w:color w:val="000000"/>
                      <w:sz w:val="22"/>
                      <w:szCs w:val="22"/>
                    </w:rPr>
                    <w:t xml:space="preserve">EC/ </w:t>
                  </w:r>
                  <w:proofErr w:type="spellStart"/>
                  <w:r>
                    <w:rPr>
                      <w:rFonts w:ascii="Calibri" w:hAnsi="Calibri"/>
                      <w:color w:val="000000"/>
                      <w:sz w:val="22"/>
                      <w:szCs w:val="22"/>
                    </w:rPr>
                    <w:t>Entrep</w:t>
                  </w:r>
                  <w:proofErr w:type="spellEnd"/>
                </w:p>
              </w:tc>
            </w:tr>
            <w:tr w:rsidR="00DD5B1A">
              <w:trPr>
                <w:trHeight w:val="300"/>
              </w:trPr>
              <w:tc>
                <w:tcPr>
                  <w:tcW w:w="3055" w:type="dxa"/>
                  <w:tcBorders>
                    <w:top w:val="nil"/>
                    <w:left w:val="single" w:sz="4" w:space="0" w:color="auto"/>
                    <w:bottom w:val="single" w:sz="4" w:space="0" w:color="auto"/>
                    <w:right w:val="single" w:sz="4" w:space="0" w:color="auto"/>
                  </w:tcBorders>
                  <w:noWrap/>
                  <w:vAlign w:val="bottom"/>
                  <w:hideMark/>
                </w:tcPr>
                <w:p w:rsidR="00DD5B1A" w:rsidRDefault="00DD5B1A">
                  <w:pPr>
                    <w:rPr>
                      <w:rFonts w:ascii="Calibri" w:hAnsi="Calibri"/>
                      <w:color w:val="000000"/>
                      <w:sz w:val="22"/>
                      <w:szCs w:val="22"/>
                    </w:rPr>
                  </w:pPr>
                  <w:r>
                    <w:rPr>
                      <w:rFonts w:ascii="Calibri" w:hAnsi="Calibri"/>
                      <w:color w:val="000000"/>
                      <w:sz w:val="22"/>
                      <w:szCs w:val="22"/>
                    </w:rPr>
                    <w:t>Graphics Design</w:t>
                  </w:r>
                </w:p>
              </w:tc>
            </w:tr>
            <w:tr w:rsidR="00DD5B1A">
              <w:trPr>
                <w:trHeight w:val="300"/>
              </w:trPr>
              <w:tc>
                <w:tcPr>
                  <w:tcW w:w="3055" w:type="dxa"/>
                  <w:tcBorders>
                    <w:top w:val="nil"/>
                    <w:left w:val="single" w:sz="4" w:space="0" w:color="auto"/>
                    <w:bottom w:val="single" w:sz="4" w:space="0" w:color="auto"/>
                    <w:right w:val="single" w:sz="4" w:space="0" w:color="auto"/>
                  </w:tcBorders>
                  <w:noWrap/>
                  <w:vAlign w:val="bottom"/>
                  <w:hideMark/>
                </w:tcPr>
                <w:p w:rsidR="00DD5B1A" w:rsidRDefault="00DD5B1A">
                  <w:pPr>
                    <w:rPr>
                      <w:rFonts w:ascii="Calibri" w:hAnsi="Calibri"/>
                      <w:color w:val="000000"/>
                      <w:sz w:val="22"/>
                      <w:szCs w:val="22"/>
                    </w:rPr>
                  </w:pPr>
                  <w:r>
                    <w:rPr>
                      <w:rFonts w:ascii="Calibri" w:hAnsi="Calibri"/>
                      <w:color w:val="000000"/>
                      <w:sz w:val="22"/>
                      <w:szCs w:val="22"/>
                    </w:rPr>
                    <w:t>Finance</w:t>
                  </w:r>
                </w:p>
              </w:tc>
            </w:tr>
            <w:tr w:rsidR="00DD5B1A">
              <w:trPr>
                <w:trHeight w:val="300"/>
              </w:trPr>
              <w:tc>
                <w:tcPr>
                  <w:tcW w:w="3055" w:type="dxa"/>
                  <w:tcBorders>
                    <w:top w:val="nil"/>
                    <w:left w:val="single" w:sz="4" w:space="0" w:color="auto"/>
                    <w:bottom w:val="single" w:sz="4" w:space="0" w:color="auto"/>
                    <w:right w:val="single" w:sz="4" w:space="0" w:color="auto"/>
                  </w:tcBorders>
                  <w:noWrap/>
                  <w:vAlign w:val="bottom"/>
                  <w:hideMark/>
                </w:tcPr>
                <w:p w:rsidR="00DD5B1A" w:rsidRDefault="00DD5B1A">
                  <w:pPr>
                    <w:rPr>
                      <w:rFonts w:ascii="Calibri" w:hAnsi="Calibri"/>
                      <w:color w:val="000000"/>
                      <w:sz w:val="22"/>
                      <w:szCs w:val="22"/>
                    </w:rPr>
                  </w:pPr>
                  <w:r>
                    <w:rPr>
                      <w:rFonts w:ascii="Calibri" w:hAnsi="Calibri"/>
                      <w:color w:val="000000"/>
                      <w:sz w:val="22"/>
                      <w:szCs w:val="22"/>
                    </w:rPr>
                    <w:t xml:space="preserve">Computer </w:t>
                  </w:r>
                  <w:proofErr w:type="spellStart"/>
                  <w:r>
                    <w:rPr>
                      <w:rFonts w:ascii="Calibri" w:hAnsi="Calibri"/>
                      <w:color w:val="000000"/>
                      <w:sz w:val="22"/>
                      <w:szCs w:val="22"/>
                    </w:rPr>
                    <w:t>Kbd</w:t>
                  </w:r>
                  <w:proofErr w:type="spellEnd"/>
                  <w:r>
                    <w:rPr>
                      <w:rFonts w:ascii="Calibri" w:hAnsi="Calibri"/>
                      <w:color w:val="000000"/>
                      <w:sz w:val="22"/>
                      <w:szCs w:val="22"/>
                    </w:rPr>
                    <w:t>/ Appl.</w:t>
                  </w:r>
                </w:p>
              </w:tc>
            </w:tr>
            <w:tr w:rsidR="00DD5B1A">
              <w:trPr>
                <w:trHeight w:val="300"/>
              </w:trPr>
              <w:tc>
                <w:tcPr>
                  <w:tcW w:w="3055" w:type="dxa"/>
                  <w:tcBorders>
                    <w:top w:val="nil"/>
                    <w:left w:val="single" w:sz="4" w:space="0" w:color="auto"/>
                    <w:bottom w:val="single" w:sz="4" w:space="0" w:color="auto"/>
                    <w:right w:val="single" w:sz="4" w:space="0" w:color="auto"/>
                  </w:tcBorders>
                  <w:noWrap/>
                  <w:vAlign w:val="bottom"/>
                  <w:hideMark/>
                </w:tcPr>
                <w:p w:rsidR="00DD5B1A" w:rsidRDefault="00DD5B1A">
                  <w:pPr>
                    <w:rPr>
                      <w:rFonts w:ascii="Calibri" w:hAnsi="Calibri"/>
                      <w:color w:val="000000"/>
                      <w:sz w:val="22"/>
                      <w:szCs w:val="22"/>
                    </w:rPr>
                  </w:pPr>
                  <w:r>
                    <w:rPr>
                      <w:rFonts w:ascii="Calibri" w:hAnsi="Calibri"/>
                      <w:color w:val="000000"/>
                      <w:sz w:val="22"/>
                      <w:szCs w:val="22"/>
                    </w:rPr>
                    <w:t>Architecture</w:t>
                  </w:r>
                </w:p>
              </w:tc>
            </w:tr>
            <w:tr w:rsidR="00DD5B1A">
              <w:trPr>
                <w:trHeight w:val="300"/>
              </w:trPr>
              <w:tc>
                <w:tcPr>
                  <w:tcW w:w="3055" w:type="dxa"/>
                  <w:tcBorders>
                    <w:top w:val="nil"/>
                    <w:left w:val="single" w:sz="4" w:space="0" w:color="auto"/>
                    <w:bottom w:val="single" w:sz="4" w:space="0" w:color="auto"/>
                    <w:right w:val="single" w:sz="4" w:space="0" w:color="auto"/>
                  </w:tcBorders>
                  <w:noWrap/>
                  <w:vAlign w:val="bottom"/>
                  <w:hideMark/>
                </w:tcPr>
                <w:p w:rsidR="00DD5B1A" w:rsidRDefault="00DD5B1A">
                  <w:pPr>
                    <w:rPr>
                      <w:rFonts w:ascii="Calibri" w:hAnsi="Calibri"/>
                      <w:color w:val="000000"/>
                      <w:sz w:val="22"/>
                      <w:szCs w:val="22"/>
                    </w:rPr>
                  </w:pPr>
                  <w:r>
                    <w:rPr>
                      <w:rFonts w:ascii="Calibri" w:hAnsi="Calibri"/>
                      <w:color w:val="000000"/>
                      <w:sz w:val="22"/>
                      <w:szCs w:val="22"/>
                    </w:rPr>
                    <w:t>Drafting/ CAD</w:t>
                  </w:r>
                </w:p>
              </w:tc>
            </w:tr>
            <w:tr w:rsidR="00DD5B1A">
              <w:trPr>
                <w:trHeight w:val="300"/>
              </w:trPr>
              <w:tc>
                <w:tcPr>
                  <w:tcW w:w="3055" w:type="dxa"/>
                  <w:tcBorders>
                    <w:top w:val="nil"/>
                    <w:left w:val="single" w:sz="4" w:space="0" w:color="auto"/>
                    <w:bottom w:val="single" w:sz="4" w:space="0" w:color="auto"/>
                    <w:right w:val="single" w:sz="4" w:space="0" w:color="auto"/>
                  </w:tcBorders>
                  <w:noWrap/>
                  <w:vAlign w:val="bottom"/>
                  <w:hideMark/>
                </w:tcPr>
                <w:p w:rsidR="00DD5B1A" w:rsidRDefault="00DD5B1A">
                  <w:pPr>
                    <w:rPr>
                      <w:rFonts w:ascii="Calibri" w:hAnsi="Calibri"/>
                      <w:color w:val="000000"/>
                      <w:sz w:val="22"/>
                      <w:szCs w:val="22"/>
                    </w:rPr>
                  </w:pPr>
                  <w:r>
                    <w:rPr>
                      <w:rFonts w:ascii="Calibri" w:hAnsi="Calibri"/>
                      <w:color w:val="000000"/>
                      <w:sz w:val="22"/>
                      <w:szCs w:val="22"/>
                    </w:rPr>
                    <w:t>Web Page Design</w:t>
                  </w:r>
                </w:p>
              </w:tc>
            </w:tr>
            <w:tr w:rsidR="00DD5B1A">
              <w:trPr>
                <w:trHeight w:val="300"/>
              </w:trPr>
              <w:tc>
                <w:tcPr>
                  <w:tcW w:w="3055" w:type="dxa"/>
                  <w:tcBorders>
                    <w:top w:val="nil"/>
                    <w:left w:val="single" w:sz="4" w:space="0" w:color="auto"/>
                    <w:bottom w:val="single" w:sz="4" w:space="0" w:color="auto"/>
                    <w:right w:val="single" w:sz="4" w:space="0" w:color="auto"/>
                  </w:tcBorders>
                  <w:noWrap/>
                  <w:vAlign w:val="bottom"/>
                  <w:hideMark/>
                </w:tcPr>
                <w:p w:rsidR="00DD5B1A" w:rsidRDefault="00DD5B1A">
                  <w:pPr>
                    <w:rPr>
                      <w:rFonts w:ascii="Calibri" w:hAnsi="Calibri"/>
                      <w:color w:val="000000"/>
                      <w:sz w:val="22"/>
                      <w:szCs w:val="22"/>
                    </w:rPr>
                  </w:pPr>
                  <w:r>
                    <w:rPr>
                      <w:rFonts w:ascii="Calibri" w:hAnsi="Calibri"/>
                      <w:color w:val="000000"/>
                      <w:sz w:val="22"/>
                      <w:szCs w:val="22"/>
                    </w:rPr>
                    <w:t>Culinary Arts</w:t>
                  </w:r>
                </w:p>
              </w:tc>
            </w:tr>
            <w:tr w:rsidR="00DD5B1A">
              <w:trPr>
                <w:trHeight w:val="300"/>
              </w:trPr>
              <w:tc>
                <w:tcPr>
                  <w:tcW w:w="3055" w:type="dxa"/>
                  <w:tcBorders>
                    <w:top w:val="nil"/>
                    <w:left w:val="single" w:sz="4" w:space="0" w:color="auto"/>
                    <w:bottom w:val="single" w:sz="4" w:space="0" w:color="auto"/>
                    <w:right w:val="single" w:sz="4" w:space="0" w:color="auto"/>
                  </w:tcBorders>
                  <w:noWrap/>
                  <w:vAlign w:val="bottom"/>
                  <w:hideMark/>
                </w:tcPr>
                <w:p w:rsidR="00DD5B1A" w:rsidRDefault="00DD5B1A">
                  <w:pPr>
                    <w:rPr>
                      <w:rFonts w:ascii="Calibri" w:hAnsi="Calibri"/>
                      <w:color w:val="000000"/>
                      <w:sz w:val="22"/>
                      <w:szCs w:val="22"/>
                    </w:rPr>
                  </w:pPr>
                  <w:r>
                    <w:rPr>
                      <w:rFonts w:ascii="Calibri" w:hAnsi="Calibri"/>
                      <w:color w:val="000000"/>
                      <w:sz w:val="22"/>
                      <w:szCs w:val="22"/>
                    </w:rPr>
                    <w:t>Auto Tech</w:t>
                  </w:r>
                </w:p>
              </w:tc>
            </w:tr>
            <w:tr w:rsidR="00DD5B1A">
              <w:trPr>
                <w:trHeight w:val="300"/>
              </w:trPr>
              <w:tc>
                <w:tcPr>
                  <w:tcW w:w="3055" w:type="dxa"/>
                  <w:tcBorders>
                    <w:top w:val="nil"/>
                    <w:left w:val="single" w:sz="4" w:space="0" w:color="auto"/>
                    <w:bottom w:val="single" w:sz="4" w:space="0" w:color="auto"/>
                    <w:right w:val="single" w:sz="4" w:space="0" w:color="auto"/>
                  </w:tcBorders>
                  <w:noWrap/>
                  <w:vAlign w:val="bottom"/>
                  <w:hideMark/>
                </w:tcPr>
                <w:p w:rsidR="00DD5B1A" w:rsidRDefault="00DD5B1A">
                  <w:pPr>
                    <w:rPr>
                      <w:rFonts w:ascii="Calibri" w:hAnsi="Calibri"/>
                      <w:color w:val="000000"/>
                      <w:sz w:val="22"/>
                      <w:szCs w:val="22"/>
                    </w:rPr>
                  </w:pPr>
                  <w:r>
                    <w:rPr>
                      <w:rFonts w:ascii="Calibri" w:hAnsi="Calibri"/>
                      <w:color w:val="000000"/>
                      <w:sz w:val="22"/>
                      <w:szCs w:val="22"/>
                    </w:rPr>
                    <w:t>Wood Technology</w:t>
                  </w:r>
                </w:p>
              </w:tc>
            </w:tr>
          </w:tbl>
          <w:p w:rsidR="00DD5B1A" w:rsidRDefault="00DD5B1A">
            <w:pPr>
              <w:rPr>
                <w:rFonts w:ascii="Arial" w:hAnsi="Arial" w:cs="Arial"/>
                <w:bCs/>
                <w:color w:val="000000"/>
                <w:sz w:val="18"/>
              </w:rPr>
            </w:pPr>
            <w:r>
              <w:rPr>
                <w:rFonts w:ascii="Arial" w:hAnsi="Arial" w:cs="Arial"/>
                <w:bCs/>
                <w:color w:val="000000"/>
                <w:sz w:val="18"/>
              </w:rPr>
              <w:t>All courses are offered on school campuses.</w:t>
            </w:r>
          </w:p>
        </w:tc>
      </w:tr>
    </w:tbl>
    <w:p w:rsidR="00DD5B1A" w:rsidRDefault="00DD5B1A">
      <w:pPr>
        <w:divId w:val="1531064940"/>
        <w:rPr>
          <w:color w:val="555555"/>
        </w:rPr>
      </w:pPr>
    </w:p>
    <w:p w:rsidR="00486BFA" w:rsidRDefault="00486BFA">
      <w:pPr>
        <w:pStyle w:val="Heading4"/>
        <w:divId w:val="1531064940"/>
        <w:rPr>
          <w:color w:val="000000"/>
          <w:sz w:val="23"/>
          <w:szCs w:val="23"/>
        </w:rPr>
      </w:pPr>
    </w:p>
    <w:p w:rsidR="00DD5B1A" w:rsidRDefault="00DD5B1A">
      <w:pPr>
        <w:pStyle w:val="Heading4"/>
        <w:divId w:val="1531064940"/>
      </w:pPr>
      <w:r>
        <w:rPr>
          <w:color w:val="000000"/>
          <w:sz w:val="23"/>
          <w:szCs w:val="23"/>
        </w:rPr>
        <w:lastRenderedPageBreak/>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4"/>
        <w:gridCol w:w="2496"/>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CTE Program Participation</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pupils participating in CTE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rPr>
                <w:rFonts w:ascii="Verdana" w:hAnsi="Verdana"/>
                <w:color w:val="666699"/>
                <w:sz w:val="20"/>
                <w:szCs w:val="20"/>
                <w:shd w:val="clear" w:color="auto" w:fill="FFFFCC"/>
              </w:rPr>
            </w:pPr>
            <w:r>
              <w:rPr>
                <w:rFonts w:ascii="Verdana" w:hAnsi="Verdana"/>
                <w:color w:val="666699"/>
                <w:sz w:val="20"/>
                <w:szCs w:val="20"/>
                <w:shd w:val="clear" w:color="auto" w:fill="FFFFCC"/>
              </w:rPr>
              <w:t>176</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pupils completing a CTE program and earning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Pr="00B83AD4" w:rsidRDefault="00DD5B1A">
            <w:pPr>
              <w:pStyle w:val="NormalWeb"/>
              <w:spacing w:before="0" w:beforeAutospacing="0" w:after="0" w:afterAutospacing="0" w:line="0" w:lineRule="atLeast"/>
              <w:ind w:left="20" w:right="20"/>
              <w:jc w:val="center"/>
              <w:rPr>
                <w:sz w:val="20"/>
                <w:szCs w:val="20"/>
              </w:rPr>
            </w:pPr>
            <w:r w:rsidRPr="00B83AD4">
              <w:rPr>
                <w:rFonts w:ascii="Verdana" w:hAnsi="Verdana"/>
                <w:color w:val="666699"/>
                <w:sz w:val="20"/>
                <w:szCs w:val="20"/>
              </w:rPr>
              <w:t>28.98%</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CTE courses sequenced or articulated between the school and institutions of postsecondary education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jc w:val="center"/>
              <w:rPr>
                <w:sz w:val="20"/>
                <w:szCs w:val="20"/>
              </w:rPr>
            </w:pPr>
            <w:r>
              <w:rPr>
                <w:rFonts w:ascii="Verdana" w:hAnsi="Verdana"/>
                <w:color w:val="666699"/>
                <w:sz w:val="20"/>
                <w:szCs w:val="20"/>
                <w:shd w:val="clear" w:color="auto" w:fill="FFFFCC"/>
              </w:rPr>
              <w:t>41.50%</w:t>
            </w:r>
          </w:p>
        </w:tc>
      </w:tr>
    </w:tbl>
    <w:p w:rsidR="00DD5B1A" w:rsidRDefault="00DD5B1A">
      <w:pPr>
        <w:pStyle w:val="Heading4"/>
        <w:divId w:val="1531064940"/>
      </w:pPr>
      <w:r>
        <w:rPr>
          <w:color w:val="000000"/>
          <w:sz w:val="23"/>
          <w:szCs w:val="23"/>
        </w:rPr>
        <w:t>Courses for University of California and/or California State University Admission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07"/>
        <w:gridCol w:w="977"/>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UC/CSU Course 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2010-11 Students Enrolled in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72.4%</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2009-10 Graduates Who Completed All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45.4%</w:t>
            </w:r>
          </w:p>
        </w:tc>
      </w:tr>
    </w:tbl>
    <w:p w:rsidR="00DD5B1A" w:rsidRDefault="00DD5B1A">
      <w:pPr>
        <w:pStyle w:val="Heading4"/>
        <w:divId w:val="1531064940"/>
      </w:pPr>
      <w:r>
        <w:rPr>
          <w:color w:val="000000"/>
          <w:sz w:val="23"/>
          <w:szCs w:val="23"/>
        </w:rPr>
        <w:t>Advanced Placement Courses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9"/>
        <w:gridCol w:w="3416"/>
        <w:gridCol w:w="3688"/>
      </w:tblGrid>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AP Courses Offered*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D5B1A" w:rsidRDefault="00DD5B1A">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Students In AP Courses</w:t>
            </w: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Computer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Fine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6</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7</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D5B1A" w:rsidRDefault="00DD5B1A">
            <w:pPr>
              <w:rPr>
                <w:sz w:val="20"/>
                <w:szCs w:val="20"/>
              </w:rPr>
            </w:pPr>
          </w:p>
        </w:tc>
      </w:tr>
      <w:tr w:rsidR="00DD5B1A">
        <w:trPr>
          <w:divId w:val="153106494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courses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D5B1A" w:rsidRDefault="00DD5B1A">
            <w:pPr>
              <w:spacing w:line="0" w:lineRule="atLeast"/>
            </w:pPr>
            <w:r w:rsidRPr="003626FA">
              <w:rPr>
                <w:rFonts w:ascii="Verdana" w:hAnsi="Verdana"/>
                <w:color w:val="666699"/>
                <w:sz w:val="17"/>
                <w:szCs w:val="17"/>
              </w:rPr>
              <w:t>5.9%</w:t>
            </w:r>
          </w:p>
        </w:tc>
      </w:tr>
    </w:tbl>
    <w:p w:rsidR="00DD5B1A" w:rsidRDefault="00DD5B1A">
      <w:pPr>
        <w:divId w:val="1531064940"/>
        <w:rPr>
          <w:color w:val="555555"/>
        </w:rPr>
      </w:pPr>
      <w:r>
        <w:rPr>
          <w:rFonts w:ascii="Verdana" w:hAnsi="Verdana"/>
          <w:color w:val="555555"/>
          <w:sz w:val="17"/>
          <w:szCs w:val="17"/>
        </w:rPr>
        <w:t>Note: Cells shaded in black do not require data. *Where there are student course enrollments.</w:t>
      </w:r>
    </w:p>
    <w:p w:rsidR="00486BFA" w:rsidRDefault="00486BFA">
      <w:pPr>
        <w:pStyle w:val="Heading2"/>
        <w:divId w:val="1531064940"/>
        <w:rPr>
          <w:color w:val="000000"/>
          <w:sz w:val="32"/>
          <w:szCs w:val="32"/>
        </w:rPr>
      </w:pPr>
    </w:p>
    <w:p w:rsidR="004C1C3E" w:rsidRDefault="00DD5B1A" w:rsidP="00486BFA">
      <w:pPr>
        <w:pStyle w:val="Heading2"/>
        <w:divId w:val="1531064940"/>
        <w:rPr>
          <w:color w:val="000000"/>
          <w:sz w:val="32"/>
          <w:szCs w:val="32"/>
        </w:rPr>
      </w:pPr>
      <w:r>
        <w:rPr>
          <w:color w:val="000000"/>
          <w:sz w:val="32"/>
          <w:szCs w:val="32"/>
        </w:rPr>
        <w:t>XII. Instructional Planning and Scheduling</w:t>
      </w:r>
    </w:p>
    <w:p w:rsidR="00DD5B1A" w:rsidRDefault="00DD5B1A" w:rsidP="00486BFA">
      <w:pPr>
        <w:pStyle w:val="Heading2"/>
        <w:divId w:val="1531064940"/>
      </w:pPr>
      <w:r>
        <w:rPr>
          <w:color w:val="000000"/>
          <w:sz w:val="23"/>
          <w:szCs w:val="23"/>
        </w:rPr>
        <w:t>Professional Development</w:t>
      </w:r>
    </w:p>
    <w:p w:rsidR="00DD5B1A" w:rsidRDefault="00DD5B1A">
      <w:pPr>
        <w:divId w:val="1531064940"/>
        <w:rPr>
          <w:color w:val="555555"/>
        </w:rPr>
      </w:pPr>
      <w:r>
        <w:rPr>
          <w:rFonts w:ascii="Verdana" w:hAnsi="Verdana"/>
          <w:color w:val="555555"/>
          <w:sz w:val="17"/>
          <w:szCs w:val="17"/>
        </w:rPr>
        <w:t>This section provides information on the annual number of school days dedicated to staff development for the most recent three-year period.</w:t>
      </w:r>
    </w:p>
    <w:tbl>
      <w:tblPr>
        <w:tblW w:w="0" w:type="auto"/>
        <w:tblLook w:val="04A0"/>
      </w:tblPr>
      <w:tblGrid>
        <w:gridCol w:w="10920"/>
      </w:tblGrid>
      <w:tr w:rsidR="00DD5B1A">
        <w:trPr>
          <w:divId w:val="153106494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DD5B1A" w:rsidRDefault="00DD5B1A">
            <w:pPr>
              <w:rPr>
                <w:rFonts w:ascii="Arial" w:hAnsi="Arial" w:cs="Arial"/>
                <w:color w:val="000000"/>
                <w:sz w:val="20"/>
                <w:szCs w:val="20"/>
              </w:rPr>
            </w:pPr>
            <w:r w:rsidRPr="003626FA">
              <w:rPr>
                <w:rFonts w:ascii="Arial" w:hAnsi="Arial" w:cs="Arial"/>
                <w:sz w:val="20"/>
                <w:szCs w:val="20"/>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w:t>
            </w:r>
            <w:r w:rsidRPr="003626FA">
              <w:rPr>
                <w:rFonts w:ascii="Arial" w:hAnsi="Arial" w:cs="Arial"/>
                <w:color w:val="000000"/>
                <w:sz w:val="20"/>
                <w:szCs w:val="20"/>
              </w:rPr>
              <w:t xml:space="preserve">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DD5B1A" w:rsidRPr="003626FA" w:rsidRDefault="00DD5B1A">
            <w:pPr>
              <w:rPr>
                <w:rFonts w:ascii="Arial" w:hAnsi="Arial" w:cs="Arial"/>
                <w:color w:val="000000"/>
                <w:sz w:val="20"/>
                <w:szCs w:val="20"/>
              </w:rPr>
            </w:pPr>
          </w:p>
          <w:p w:rsidR="00DD5B1A" w:rsidRPr="003626FA" w:rsidRDefault="00DD5B1A">
            <w:pPr>
              <w:rPr>
                <w:rFonts w:ascii="Arial" w:hAnsi="Arial" w:cs="Arial"/>
                <w:color w:val="000000"/>
                <w:sz w:val="20"/>
                <w:szCs w:val="20"/>
              </w:rPr>
            </w:pPr>
            <w:r w:rsidRPr="003626FA">
              <w:rPr>
                <w:rFonts w:ascii="Arial" w:hAnsi="Arial" w:cs="Arial"/>
                <w:color w:val="000000"/>
                <w:sz w:val="20"/>
                <w:szCs w:val="20"/>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DD5B1A" w:rsidRPr="003626FA" w:rsidRDefault="00DD5B1A">
            <w:pPr>
              <w:rPr>
                <w:rFonts w:ascii="Arial" w:hAnsi="Arial" w:cs="Arial"/>
                <w:color w:val="000000"/>
                <w:sz w:val="20"/>
                <w:szCs w:val="20"/>
              </w:rPr>
            </w:pPr>
          </w:p>
          <w:p w:rsidR="00DD5B1A" w:rsidRPr="003626FA" w:rsidRDefault="00DD5B1A">
            <w:pPr>
              <w:rPr>
                <w:rFonts w:ascii="Arial" w:hAnsi="Arial" w:cs="Arial"/>
                <w:sz w:val="20"/>
                <w:szCs w:val="20"/>
              </w:rPr>
            </w:pPr>
            <w:r w:rsidRPr="003626FA">
              <w:rPr>
                <w:rFonts w:ascii="Arial" w:hAnsi="Arial" w:cs="Arial"/>
                <w:color w:val="000000"/>
                <w:sz w:val="20"/>
                <w:szCs w:val="20"/>
              </w:rPr>
              <w:t>Throughout the school year, professional development on district initiatives is provided to teachers through the use of substitutes.  This includes:  Thinking Maps, GATE Level II &amp; III training, technology, problem solving.</w:t>
            </w:r>
          </w:p>
          <w:p w:rsidR="00DD5B1A" w:rsidRPr="003626FA" w:rsidRDefault="00DD5B1A">
            <w:pPr>
              <w:rPr>
                <w:rFonts w:ascii="Arial" w:hAnsi="Arial" w:cs="Arial"/>
                <w:color w:val="000000"/>
                <w:sz w:val="20"/>
                <w:szCs w:val="20"/>
              </w:rPr>
            </w:pPr>
          </w:p>
          <w:p w:rsidR="00DD5B1A" w:rsidRDefault="00DD5B1A">
            <w:pPr>
              <w:rPr>
                <w:rFonts w:ascii="Arial" w:hAnsi="Arial" w:cs="Arial"/>
                <w:color w:val="000000"/>
                <w:sz w:val="20"/>
                <w:szCs w:val="20"/>
              </w:rPr>
            </w:pPr>
            <w:r w:rsidRPr="003626FA">
              <w:rPr>
                <w:rFonts w:ascii="Arial" w:hAnsi="Arial" w:cs="Arial"/>
                <w:color w:val="000000"/>
                <w:sz w:val="20"/>
                <w:szCs w:val="20"/>
              </w:rPr>
              <w:t>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(PAR) program is designed to assist both veteran and new teachers by providing in-class support.</w:t>
            </w:r>
          </w:p>
        </w:tc>
      </w:tr>
    </w:tbl>
    <w:p w:rsidR="00DD5B1A" w:rsidRDefault="00DD5B1A">
      <w:pPr>
        <w:divId w:val="1531064940"/>
        <w:rPr>
          <w:color w:val="555555"/>
          <w:szCs w:val="16"/>
        </w:rPr>
      </w:pPr>
    </w:p>
    <w:sectPr w:rsidR="00DD5B1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F63CD1"/>
    <w:multiLevelType w:val="multilevel"/>
    <w:tmpl w:val="A2B8EA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1B20610"/>
    <w:multiLevelType w:val="multilevel"/>
    <w:tmpl w:val="78F279F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28C24D6D"/>
    <w:multiLevelType w:val="multilevel"/>
    <w:tmpl w:val="04AC82D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4">
    <w:nsid w:val="3CE56815"/>
    <w:multiLevelType w:val="multilevel"/>
    <w:tmpl w:val="7DA49F0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92"/>
  <w:proofState w:spelling="clean" w:grammar="clean"/>
  <w:attachedTemplate r:id="rId1"/>
  <w:defaultTabStop w:val="720"/>
  <w:drawingGridHorizontalSpacing w:val="120"/>
  <w:displayHorizontalDrawingGridEvery w:val="2"/>
  <w:noPunctuationKerning/>
  <w:characterSpacingControl w:val="doNotCompress"/>
  <w:compat/>
  <w:rsids>
    <w:rsidRoot w:val="00486BFA"/>
    <w:rsid w:val="003626FA"/>
    <w:rsid w:val="00486BFA"/>
    <w:rsid w:val="004C1C3E"/>
    <w:rsid w:val="00B83AD4"/>
    <w:rsid w:val="00C34A63"/>
    <w:rsid w:val="00DD5B1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 w:type="table" w:styleId="TableGrid">
    <w:name w:val="Table Grid"/>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53288324">
      <w:marLeft w:val="0"/>
      <w:marRight w:val="0"/>
      <w:marTop w:val="0"/>
      <w:marBottom w:val="0"/>
      <w:divBdr>
        <w:top w:val="none" w:sz="0" w:space="0" w:color="auto"/>
        <w:left w:val="none" w:sz="0" w:space="0" w:color="auto"/>
        <w:bottom w:val="none" w:sz="0" w:space="0" w:color="auto"/>
        <w:right w:val="none" w:sz="0" w:space="0" w:color="auto"/>
      </w:divBdr>
      <w:divsChild>
        <w:div w:id="1531064940">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cs/" TargetMode="External"/><Relationship Id="rId13" Type="http://schemas.openxmlformats.org/officeDocument/2006/relationships/hyperlink" Target="http://www.cde.ca.gov/ta/tg/pf/" TargetMode="External"/><Relationship Id="rId18" Type="http://schemas.openxmlformats.org/officeDocument/2006/relationships/hyperlink" Target="http://www.calstate.edu/admission/admission.shtml" TargetMode="External"/><Relationship Id="rId3" Type="http://schemas.openxmlformats.org/officeDocument/2006/relationships/settings" Target="settings.xml"/><Relationship Id="rId7" Type="http://schemas.openxmlformats.org/officeDocument/2006/relationships/hyperlink" Target="http://www.cde.ca.gov/ds/fd/ec/" TargetMode="External"/><Relationship Id="rId12" Type="http://schemas.openxmlformats.org/officeDocument/2006/relationships/hyperlink" Target="http://cahsee.cde.ca.gov/" TargetMode="External"/><Relationship Id="rId17" Type="http://schemas.openxmlformats.org/officeDocument/2006/relationships/hyperlink" Target="http://www.universityofcalifornia.edu/admissions/" TargetMode="External"/><Relationship Id="rId2" Type="http://schemas.openxmlformats.org/officeDocument/2006/relationships/styles" Target="styles.xml"/><Relationship Id="rId16" Type="http://schemas.openxmlformats.org/officeDocument/2006/relationships/hyperlink" Target="http://www.cde.ca.gov/ta/ac/ay/tidetermine.asp"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star.cde.ca.gov/" TargetMode="External"/><Relationship Id="rId5" Type="http://schemas.openxmlformats.org/officeDocument/2006/relationships/hyperlink" Target="http://www.cde.ca.gov/ta/ac/sa/" TargetMode="External"/><Relationship Id="rId15" Type="http://schemas.openxmlformats.org/officeDocument/2006/relationships/hyperlink" Target="http://www.cde.ca.gov/ta/ac/ay/" TargetMode="External"/><Relationship Id="rId10" Type="http://schemas.openxmlformats.org/officeDocument/2006/relationships/hyperlink" Target="http://www.cde.ca.gov/ds/fd/c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d-data.org/" TargetMode="External"/><Relationship Id="rId14" Type="http://schemas.openxmlformats.org/officeDocument/2006/relationships/hyperlink" Target="http://www.cde.ca.gov/ta/ac/ap/"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6189</Words>
  <Characters>35279</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Pages - SARC Template 1011 19757131934553 English</vt:lpstr>
    </vt:vector>
  </TitlesOfParts>
  <Company/>
  <LinksUpToDate>false</LinksUpToDate>
  <CharactersWithSpaces>41386</CharactersWithSpaces>
  <SharedDoc>false</SharedDoc>
  <HLinks>
    <vt:vector size="84" baseType="variant">
      <vt:variant>
        <vt:i4>4522065</vt:i4>
      </vt:variant>
      <vt:variant>
        <vt:i4>39</vt:i4>
      </vt:variant>
      <vt:variant>
        <vt:i4>0</vt:i4>
      </vt:variant>
      <vt:variant>
        <vt:i4>5</vt:i4>
      </vt:variant>
      <vt:variant>
        <vt:lpwstr>http://www.calstate.edu/admission/admission.shtml</vt:lpwstr>
      </vt:variant>
      <vt:variant>
        <vt:lpwstr/>
      </vt:variant>
      <vt:variant>
        <vt:i4>5177420</vt:i4>
      </vt:variant>
      <vt:variant>
        <vt:i4>36</vt:i4>
      </vt:variant>
      <vt:variant>
        <vt:i4>0</vt:i4>
      </vt:variant>
      <vt:variant>
        <vt:i4>5</vt:i4>
      </vt:variant>
      <vt:variant>
        <vt:lpwstr>http://www.universityofcalifornia.edu/admissions/</vt:lpwstr>
      </vt:variant>
      <vt:variant>
        <vt:lpwstr/>
      </vt:variant>
      <vt:variant>
        <vt:i4>8192043</vt:i4>
      </vt:variant>
      <vt:variant>
        <vt:i4>33</vt:i4>
      </vt:variant>
      <vt:variant>
        <vt:i4>0</vt:i4>
      </vt:variant>
      <vt:variant>
        <vt:i4>5</vt:i4>
      </vt:variant>
      <vt:variant>
        <vt:lpwstr>http://www.cde.ca.gov/ta/ac/ay/tidetermine.asp</vt:lpwstr>
      </vt:variant>
      <vt:variant>
        <vt:lpwstr/>
      </vt:variant>
      <vt:variant>
        <vt:i4>7733299</vt:i4>
      </vt:variant>
      <vt:variant>
        <vt:i4>30</vt:i4>
      </vt:variant>
      <vt:variant>
        <vt:i4>0</vt:i4>
      </vt:variant>
      <vt:variant>
        <vt:i4>5</vt:i4>
      </vt:variant>
      <vt:variant>
        <vt:lpwstr>http://www.cde.ca.gov/ta/ac/ay/</vt:lpwstr>
      </vt:variant>
      <vt:variant>
        <vt:lpwstr/>
      </vt:variant>
      <vt:variant>
        <vt:i4>8323123</vt:i4>
      </vt:variant>
      <vt:variant>
        <vt:i4>27</vt:i4>
      </vt:variant>
      <vt:variant>
        <vt:i4>0</vt:i4>
      </vt:variant>
      <vt:variant>
        <vt:i4>5</vt:i4>
      </vt:variant>
      <vt:variant>
        <vt:lpwstr>http://www.cde.ca.gov/ta/ac/ap/</vt:lpwstr>
      </vt:variant>
      <vt:variant>
        <vt:lpwstr/>
      </vt:variant>
      <vt:variant>
        <vt:i4>8126502</vt:i4>
      </vt:variant>
      <vt:variant>
        <vt:i4>24</vt:i4>
      </vt:variant>
      <vt:variant>
        <vt:i4>0</vt:i4>
      </vt:variant>
      <vt:variant>
        <vt:i4>5</vt:i4>
      </vt:variant>
      <vt:variant>
        <vt:lpwstr>http://www.cde.ca.gov/ta/tg/pf/</vt:lpwstr>
      </vt:variant>
      <vt:variant>
        <vt:lpwstr/>
      </vt:variant>
      <vt:variant>
        <vt:i4>5308506</vt:i4>
      </vt:variant>
      <vt:variant>
        <vt:i4>21</vt:i4>
      </vt:variant>
      <vt:variant>
        <vt:i4>0</vt:i4>
      </vt:variant>
      <vt:variant>
        <vt:i4>5</vt:i4>
      </vt:variant>
      <vt:variant>
        <vt:lpwstr>http://cahsee.cde.ca.gov/</vt:lpwstr>
      </vt:variant>
      <vt:variant>
        <vt:lpwstr/>
      </vt:variant>
      <vt:variant>
        <vt:i4>2949163</vt:i4>
      </vt:variant>
      <vt:variant>
        <vt:i4>18</vt:i4>
      </vt:variant>
      <vt:variant>
        <vt:i4>0</vt:i4>
      </vt:variant>
      <vt:variant>
        <vt:i4>5</vt:i4>
      </vt:variant>
      <vt:variant>
        <vt:lpwstr>http://star.cde.ca.gov/</vt:lpwstr>
      </vt:variant>
      <vt:variant>
        <vt:lpwstr/>
      </vt:variant>
      <vt:variant>
        <vt:i4>6881318</vt:i4>
      </vt:variant>
      <vt:variant>
        <vt:i4>15</vt:i4>
      </vt:variant>
      <vt:variant>
        <vt:i4>0</vt:i4>
      </vt:variant>
      <vt:variant>
        <vt:i4>5</vt:i4>
      </vt:variant>
      <vt:variant>
        <vt:lpwstr>http://www.cde.ca.gov/ds/fd/cs/</vt:lpwstr>
      </vt:variant>
      <vt:variant>
        <vt:lpwstr/>
      </vt:variant>
      <vt:variant>
        <vt:i4>7012472</vt:i4>
      </vt:variant>
      <vt:variant>
        <vt:i4>12</vt:i4>
      </vt:variant>
      <vt:variant>
        <vt:i4>0</vt:i4>
      </vt:variant>
      <vt:variant>
        <vt:i4>5</vt:i4>
      </vt:variant>
      <vt:variant>
        <vt:lpwstr>http://www.ed-data.org/</vt:lpwstr>
      </vt:variant>
      <vt:variant>
        <vt:lpwstr/>
      </vt:variant>
      <vt:variant>
        <vt:i4>6881318</vt:i4>
      </vt:variant>
      <vt:variant>
        <vt:i4>9</vt:i4>
      </vt:variant>
      <vt:variant>
        <vt:i4>0</vt:i4>
      </vt:variant>
      <vt:variant>
        <vt:i4>5</vt:i4>
      </vt:variant>
      <vt:variant>
        <vt:lpwstr>http://www.cde.ca.gov/ds/fd/cs/</vt:lpwstr>
      </vt:variant>
      <vt:variant>
        <vt:lpwstr/>
      </vt:variant>
      <vt:variant>
        <vt:i4>7929888</vt:i4>
      </vt:variant>
      <vt:variant>
        <vt:i4>6</vt:i4>
      </vt:variant>
      <vt:variant>
        <vt:i4>0</vt:i4>
      </vt:variant>
      <vt:variant>
        <vt:i4>5</vt:i4>
      </vt:variant>
      <vt:variant>
        <vt:lpwstr>http://www.cde.ca.gov/ds/fd/ec/</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19757131934553 English</dc:title>
  <dc:creator>Robert</dc:creator>
  <cp:lastModifiedBy>Robert</cp:lastModifiedBy>
  <cp:revision>2</cp:revision>
  <dcterms:created xsi:type="dcterms:W3CDTF">2012-01-31T20:13:00Z</dcterms:created>
  <dcterms:modified xsi:type="dcterms:W3CDTF">2012-01-31T20:13:00Z</dcterms:modified>
</cp:coreProperties>
</file>